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imes New Roman" w:cs="Times New Roman"/>
          <w:color w:val="auto"/>
          <w:sz w:val="24"/>
          <w:szCs w:val="24"/>
          <w:lang w:val="en-GB" w:eastAsia="en-GB"/>
        </w:rPr>
        <w:id w:val="-1618131490"/>
        <w:docPartObj>
          <w:docPartGallery w:val="Cover Pages"/>
          <w:docPartUnique/>
        </w:docPartObj>
      </w:sdtPr>
      <w:sdtEndPr/>
      <w:sdtContent>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
            <w:gridCol w:w="4493"/>
            <w:gridCol w:w="971"/>
            <w:gridCol w:w="81"/>
            <w:gridCol w:w="2433"/>
            <w:gridCol w:w="926"/>
            <w:gridCol w:w="76"/>
          </w:tblGrid>
          <w:tr w:rsidR="005D459B" w14:paraId="17953DF4" w14:textId="77777777" w:rsidTr="00DF39CC">
            <w:trPr>
              <w:gridBefore w:val="1"/>
              <w:gridAfter w:val="1"/>
              <w:wBefore w:w="25" w:type="pct"/>
              <w:wAfter w:w="42" w:type="pct"/>
              <w:trHeight w:val="20"/>
            </w:trPr>
            <w:tc>
              <w:tcPr>
                <w:tcW w:w="3072" w:type="pct"/>
                <w:gridSpan w:val="3"/>
                <w:shd w:val="clear" w:color="auto" w:fill="003479"/>
                <w:tcMar>
                  <w:left w:w="187" w:type="dxa"/>
                  <w:right w:w="187" w:type="dxa"/>
                </w:tcMar>
                <w:vAlign w:val="center"/>
              </w:tcPr>
              <w:p w14:paraId="17953DF1" w14:textId="519EF51F" w:rsidR="005D459B" w:rsidRDefault="00570F3C" w:rsidP="00570F3C">
                <w:pPr>
                  <w:pStyle w:val="Dateandstrap"/>
                  <w:spacing w:before="120" w:after="120" w:line="320" w:lineRule="exact"/>
                </w:pPr>
                <w:r>
                  <w:rPr>
                    <w:rFonts w:eastAsia="Times New Roman" w:cs="Times New Roman"/>
                    <w:color w:val="auto"/>
                    <w:sz w:val="24"/>
                    <w:szCs w:val="24"/>
                    <w:lang w:val="en-GB" w:eastAsia="en-GB"/>
                  </w:rPr>
                  <w:t xml:space="preserve">October </w:t>
                </w:r>
                <w:r w:rsidR="00520CC2">
                  <w:t>2020</w:t>
                </w:r>
              </w:p>
            </w:tc>
            <w:tc>
              <w:tcPr>
                <w:tcW w:w="1348" w:type="pct"/>
                <w:shd w:val="clear" w:color="auto" w:fill="003479"/>
                <w:tcMar>
                  <w:left w:w="187" w:type="dxa"/>
                  <w:right w:w="187" w:type="dxa"/>
                </w:tcMar>
                <w:vAlign w:val="center"/>
              </w:tcPr>
              <w:p w14:paraId="17953DF2" w14:textId="77777777" w:rsidR="005D459B" w:rsidRDefault="005D459B" w:rsidP="005D459B">
                <w:pPr>
                  <w:spacing w:before="120" w:after="120"/>
                  <w:jc w:val="right"/>
                </w:pPr>
                <w:r w:rsidRPr="00674317">
                  <w:rPr>
                    <w:rFonts w:cs="Arial"/>
                  </w:rPr>
                  <w:t>Trust in water</w:t>
                </w:r>
              </w:p>
            </w:tc>
            <w:tc>
              <w:tcPr>
                <w:tcW w:w="513" w:type="pct"/>
                <w:shd w:val="clear" w:color="auto" w:fill="0078C9"/>
                <w:tcMar>
                  <w:left w:w="187" w:type="dxa"/>
                  <w:right w:w="187" w:type="dxa"/>
                </w:tcMar>
                <w:vAlign w:val="center"/>
              </w:tcPr>
              <w:p w14:paraId="17953DF3" w14:textId="77777777" w:rsidR="005D459B" w:rsidRDefault="005D459B" w:rsidP="005D459B">
                <w:pPr>
                  <w:jc w:val="both"/>
                </w:pPr>
              </w:p>
            </w:tc>
          </w:tr>
          <w:tr w:rsidR="005D459B" w14:paraId="17953DF7" w14:textId="77777777" w:rsidTr="00807057">
            <w:trPr>
              <w:gridBefore w:val="1"/>
              <w:gridAfter w:val="1"/>
              <w:wBefore w:w="25" w:type="pct"/>
              <w:wAfter w:w="42" w:type="pct"/>
              <w:trHeight w:val="2268"/>
            </w:trPr>
            <w:tc>
              <w:tcPr>
                <w:tcW w:w="4419" w:type="pct"/>
                <w:gridSpan w:val="4"/>
                <w:shd w:val="clear" w:color="auto" w:fill="003479"/>
                <w:tcMar>
                  <w:left w:w="187" w:type="dxa"/>
                  <w:right w:w="187" w:type="dxa"/>
                </w:tcMar>
                <w:vAlign w:val="center"/>
              </w:tcPr>
              <w:p w14:paraId="17953DF5" w14:textId="77777777" w:rsidR="005D459B" w:rsidRPr="00025E5E" w:rsidRDefault="005D459B" w:rsidP="005D459B">
                <w:pPr>
                  <w:pStyle w:val="Title"/>
                </w:pPr>
                <w:r>
                  <w:t>Information for applicants</w:t>
                </w:r>
              </w:p>
            </w:tc>
            <w:tc>
              <w:tcPr>
                <w:tcW w:w="513" w:type="pct"/>
                <w:shd w:val="clear" w:color="auto" w:fill="0078C9"/>
                <w:tcMar>
                  <w:left w:w="187" w:type="dxa"/>
                  <w:right w:w="187" w:type="dxa"/>
                </w:tcMar>
                <w:vAlign w:val="center"/>
              </w:tcPr>
              <w:p w14:paraId="17953DF6" w14:textId="77777777" w:rsidR="005D459B" w:rsidRDefault="005D459B" w:rsidP="005D459B">
                <w:pPr>
                  <w:jc w:val="both"/>
                </w:pPr>
              </w:p>
            </w:tc>
          </w:tr>
          <w:tr w:rsidR="005D459B" w14:paraId="17953DFB" w14:textId="77777777" w:rsidTr="00DF39CC">
            <w:trPr>
              <w:gridBefore w:val="1"/>
              <w:gridAfter w:val="1"/>
              <w:wBefore w:w="25" w:type="pct"/>
              <w:wAfter w:w="42" w:type="pct"/>
              <w:trHeight w:val="3969"/>
            </w:trPr>
            <w:tc>
              <w:tcPr>
                <w:tcW w:w="3027" w:type="pct"/>
                <w:gridSpan w:val="2"/>
                <w:shd w:val="clear" w:color="auto" w:fill="7FBBE4"/>
                <w:tcMar>
                  <w:top w:w="57" w:type="dxa"/>
                  <w:left w:w="187" w:type="dxa"/>
                  <w:right w:w="187" w:type="dxa"/>
                </w:tcMar>
              </w:tcPr>
              <w:p w14:paraId="17953DF8" w14:textId="21F96C00" w:rsidR="00514BFC" w:rsidRPr="00FF5E2B" w:rsidRDefault="00FF5E2B" w:rsidP="00DF39CC">
                <w:pPr>
                  <w:pStyle w:val="Jobtitle"/>
                </w:pPr>
                <w:r w:rsidRPr="00FF5E2B">
                  <w:t>Senior Associate – Engineer (RAPID)</w:t>
                </w:r>
              </w:p>
              <w:p w14:paraId="17953DF9" w14:textId="261BECE9" w:rsidR="005D459B" w:rsidRDefault="00DF39CC" w:rsidP="00570F3C">
                <w:pPr>
                  <w:pStyle w:val="Jobtitle"/>
                </w:pPr>
                <w:r w:rsidRPr="00570F3C">
                  <w:t>Ref: OFW</w:t>
                </w:r>
                <w:r w:rsidR="00570F3C" w:rsidRPr="00570F3C">
                  <w:t xml:space="preserve"> BC-477</w:t>
                </w:r>
              </w:p>
            </w:tc>
            <w:tc>
              <w:tcPr>
                <w:tcW w:w="1906" w:type="pct"/>
                <w:gridSpan w:val="3"/>
                <w:shd w:val="clear" w:color="auto" w:fill="0078C9"/>
                <w:tcMar>
                  <w:left w:w="187" w:type="dxa"/>
                  <w:right w:w="187" w:type="dxa"/>
                </w:tcMar>
              </w:tcPr>
              <w:p w14:paraId="17953DFA" w14:textId="77777777" w:rsidR="005D459B" w:rsidRDefault="005D459B" w:rsidP="005D459B">
                <w:pPr>
                  <w:jc w:val="both"/>
                </w:pPr>
              </w:p>
            </w:tc>
          </w:tr>
          <w:tr w:rsidR="005D459B" w14:paraId="17953DFE" w14:textId="77777777" w:rsidTr="00DF39CC">
            <w:trPr>
              <w:gridBefore w:val="1"/>
              <w:gridAfter w:val="1"/>
              <w:wBefore w:w="25" w:type="pct"/>
              <w:wAfter w:w="42" w:type="pct"/>
              <w:trHeight w:val="20"/>
            </w:trPr>
            <w:tc>
              <w:tcPr>
                <w:tcW w:w="3027" w:type="pct"/>
                <w:gridSpan w:val="2"/>
                <w:shd w:val="clear" w:color="auto" w:fill="7FBBE4"/>
                <w:tcMar>
                  <w:left w:w="187" w:type="dxa"/>
                  <w:right w:w="187" w:type="dxa"/>
                </w:tcMar>
                <w:vAlign w:val="bottom"/>
              </w:tcPr>
              <w:p w14:paraId="17953DFC" w14:textId="77777777" w:rsidR="005D459B" w:rsidRDefault="005D459B" w:rsidP="005D459B">
                <w:pPr>
                  <w:pStyle w:val="Web"/>
                  <w:spacing w:before="120" w:after="240" w:line="320" w:lineRule="exact"/>
                  <w:jc w:val="left"/>
                </w:pPr>
                <w:r w:rsidRPr="00E83BC1">
                  <w:t>www.ofwat.gov.uk</w:t>
                </w:r>
              </w:p>
            </w:tc>
            <w:tc>
              <w:tcPr>
                <w:tcW w:w="1906" w:type="pct"/>
                <w:gridSpan w:val="3"/>
                <w:tcMar>
                  <w:left w:w="187" w:type="dxa"/>
                  <w:right w:w="187" w:type="dxa"/>
                </w:tcMar>
              </w:tcPr>
              <w:p w14:paraId="17953DFD" w14:textId="77777777" w:rsidR="005D459B" w:rsidRDefault="005D459B" w:rsidP="005D459B">
                <w:pPr>
                  <w:spacing w:before="0" w:after="0" w:line="240" w:lineRule="auto"/>
                  <w:contextualSpacing/>
                </w:pPr>
                <w:r>
                  <w:rPr>
                    <w:rFonts w:cs="Arial"/>
                    <w:noProof/>
                  </w:rPr>
                  <w:drawing>
                    <wp:anchor distT="0" distB="0" distL="114300" distR="114300" simplePos="0" relativeHeight="251670528" behindDoc="1" locked="0" layoutInCell="1" allowOverlap="1" wp14:anchorId="17953EB6" wp14:editId="17953EB7">
                      <wp:simplePos x="0" y="0"/>
                      <wp:positionH relativeFrom="margin">
                        <wp:align>center</wp:align>
                      </wp:positionH>
                      <wp:positionV relativeFrom="line">
                        <wp:posOffset>182880</wp:posOffset>
                      </wp:positionV>
                      <wp:extent cx="1600200" cy="68453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wat logo 36 mm 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00200" cy="684530"/>
                              </a:xfrm>
                              <a:prstGeom prst="rect">
                                <a:avLst/>
                              </a:prstGeom>
                            </pic:spPr>
                          </pic:pic>
                        </a:graphicData>
                      </a:graphic>
                      <wp14:sizeRelH relativeFrom="margin">
                        <wp14:pctWidth>0</wp14:pctWidth>
                      </wp14:sizeRelH>
                      <wp14:sizeRelV relativeFrom="margin">
                        <wp14:pctHeight>0</wp14:pctHeight>
                      </wp14:sizeRelV>
                    </wp:anchor>
                  </w:drawing>
                </w:r>
              </w:p>
            </w:tc>
          </w:tr>
          <w:tr w:rsidR="005D459B" w14:paraId="17953E01" w14:textId="77777777" w:rsidTr="00DF39CC">
            <w:trPr>
              <w:trHeight w:val="1139"/>
            </w:trPr>
            <w:tc>
              <w:tcPr>
                <w:tcW w:w="2514" w:type="pct"/>
                <w:gridSpan w:val="2"/>
                <w:vAlign w:val="center"/>
              </w:tcPr>
              <w:p w14:paraId="4F005D04" w14:textId="77777777" w:rsidR="005D459B" w:rsidRDefault="005D459B" w:rsidP="005D459B">
                <w:pPr>
                  <w:pStyle w:val="PlainText"/>
                  <w:spacing w:line="320" w:lineRule="exact"/>
                  <w:jc w:val="center"/>
                  <w:rPr>
                    <w:rFonts w:ascii="Arial" w:hAnsi="Arial" w:cs="Arial"/>
                    <w:sz w:val="24"/>
                    <w:szCs w:val="24"/>
                  </w:rPr>
                </w:pPr>
              </w:p>
              <w:p w14:paraId="1D5C35F0" w14:textId="77777777" w:rsidR="002A7DCC" w:rsidRDefault="002A7DCC" w:rsidP="005D459B">
                <w:pPr>
                  <w:pStyle w:val="PlainText"/>
                  <w:spacing w:line="320" w:lineRule="exact"/>
                  <w:jc w:val="center"/>
                  <w:rPr>
                    <w:rFonts w:ascii="Arial" w:hAnsi="Arial" w:cs="Arial"/>
                    <w:sz w:val="24"/>
                    <w:szCs w:val="24"/>
                  </w:rPr>
                </w:pPr>
              </w:p>
              <w:p w14:paraId="176DF7BB" w14:textId="77777777" w:rsidR="002A7DCC" w:rsidRDefault="002A7DCC" w:rsidP="005D459B">
                <w:pPr>
                  <w:pStyle w:val="PlainText"/>
                  <w:spacing w:line="320" w:lineRule="exact"/>
                  <w:jc w:val="center"/>
                  <w:rPr>
                    <w:rFonts w:ascii="Arial" w:hAnsi="Arial" w:cs="Arial"/>
                    <w:sz w:val="24"/>
                    <w:szCs w:val="24"/>
                  </w:rPr>
                </w:pPr>
              </w:p>
              <w:p w14:paraId="624C0F19" w14:textId="77777777" w:rsidR="002A7DCC" w:rsidRDefault="002A7DCC" w:rsidP="005D459B">
                <w:pPr>
                  <w:pStyle w:val="PlainText"/>
                  <w:spacing w:line="320" w:lineRule="exact"/>
                  <w:jc w:val="center"/>
                  <w:rPr>
                    <w:rFonts w:ascii="Arial" w:hAnsi="Arial" w:cs="Arial"/>
                    <w:sz w:val="24"/>
                    <w:szCs w:val="24"/>
                  </w:rPr>
                </w:pPr>
              </w:p>
              <w:p w14:paraId="1AEC2819" w14:textId="77777777" w:rsidR="002A7DCC" w:rsidRDefault="002A7DCC" w:rsidP="005D459B">
                <w:pPr>
                  <w:pStyle w:val="PlainText"/>
                  <w:spacing w:line="320" w:lineRule="exact"/>
                  <w:jc w:val="center"/>
                  <w:rPr>
                    <w:rFonts w:ascii="Arial" w:hAnsi="Arial" w:cs="Arial"/>
                    <w:sz w:val="24"/>
                    <w:szCs w:val="24"/>
                  </w:rPr>
                </w:pPr>
              </w:p>
              <w:p w14:paraId="6CE0840A" w14:textId="77777777" w:rsidR="002A7DCC" w:rsidRDefault="002A7DCC" w:rsidP="002A7DCC">
                <w:pPr>
                  <w:pStyle w:val="PlainText"/>
                  <w:spacing w:line="320" w:lineRule="exact"/>
                  <w:rPr>
                    <w:rFonts w:ascii="Arial" w:hAnsi="Arial" w:cs="Arial"/>
                    <w:sz w:val="24"/>
                    <w:szCs w:val="24"/>
                  </w:rPr>
                </w:pPr>
              </w:p>
              <w:p w14:paraId="1029FDD2" w14:textId="77777777" w:rsidR="002A7DCC" w:rsidRDefault="002A7DCC" w:rsidP="002A7DCC">
                <w:pPr>
                  <w:pStyle w:val="PlainText"/>
                  <w:spacing w:line="320" w:lineRule="exact"/>
                  <w:rPr>
                    <w:rFonts w:ascii="Arial" w:hAnsi="Arial" w:cs="Arial"/>
                    <w:sz w:val="24"/>
                    <w:szCs w:val="24"/>
                  </w:rPr>
                </w:pPr>
              </w:p>
              <w:p w14:paraId="35FB2074" w14:textId="77777777" w:rsidR="002A7DCC" w:rsidRDefault="002A7DCC" w:rsidP="002A7DCC">
                <w:pPr>
                  <w:pStyle w:val="PlainText"/>
                  <w:spacing w:line="320" w:lineRule="exact"/>
                  <w:rPr>
                    <w:rFonts w:ascii="Arial" w:hAnsi="Arial" w:cs="Arial"/>
                    <w:sz w:val="24"/>
                    <w:szCs w:val="24"/>
                  </w:rPr>
                </w:pPr>
              </w:p>
              <w:p w14:paraId="17953DFF" w14:textId="2D989178" w:rsidR="002A7DCC" w:rsidRDefault="002A7DCC" w:rsidP="002A7DCC">
                <w:pPr>
                  <w:pStyle w:val="PlainText"/>
                  <w:spacing w:line="320" w:lineRule="exact"/>
                  <w:rPr>
                    <w:rFonts w:ascii="Arial" w:hAnsi="Arial" w:cs="Arial"/>
                    <w:sz w:val="24"/>
                    <w:szCs w:val="24"/>
                  </w:rPr>
                </w:pPr>
              </w:p>
            </w:tc>
            <w:tc>
              <w:tcPr>
                <w:tcW w:w="2486" w:type="pct"/>
                <w:gridSpan w:val="5"/>
                <w:vAlign w:val="center"/>
              </w:tcPr>
              <w:p w14:paraId="17953E00" w14:textId="70121656" w:rsidR="005D459B" w:rsidRDefault="005D459B" w:rsidP="002A7DCC">
                <w:pPr>
                  <w:pStyle w:val="PlainText"/>
                  <w:spacing w:line="320" w:lineRule="exact"/>
                  <w:jc w:val="center"/>
                  <w:rPr>
                    <w:rFonts w:ascii="Arial" w:hAnsi="Arial" w:cs="Arial"/>
                    <w:sz w:val="24"/>
                    <w:szCs w:val="24"/>
                  </w:rPr>
                </w:pPr>
              </w:p>
            </w:tc>
          </w:tr>
        </w:tbl>
        <w:p w14:paraId="17953E02" w14:textId="64D0DC2C" w:rsidR="005D459B" w:rsidRDefault="002A7DCC">
          <w:pPr>
            <w:spacing w:before="0" w:after="0" w:line="240" w:lineRule="auto"/>
            <w:rPr>
              <w:rFonts w:ascii="Franklin Gothic Demi" w:hAnsi="Franklin Gothic Demi"/>
              <w:bCs/>
              <w:color w:val="003479"/>
              <w:sz w:val="36"/>
              <w:szCs w:val="28"/>
            </w:rPr>
          </w:pPr>
          <w:r>
            <w:rPr>
              <w:rFonts w:cs="Arial"/>
              <w:noProof/>
            </w:rPr>
            <w:drawing>
              <wp:anchor distT="0" distB="0" distL="114300" distR="114300" simplePos="0" relativeHeight="251672576" behindDoc="0" locked="0" layoutInCell="1" allowOverlap="1" wp14:anchorId="17953EB8" wp14:editId="2F2E7BDC">
                <wp:simplePos x="0" y="0"/>
                <wp:positionH relativeFrom="margin">
                  <wp:posOffset>4792254</wp:posOffset>
                </wp:positionH>
                <wp:positionV relativeFrom="margin">
                  <wp:posOffset>7307580</wp:posOffset>
                </wp:positionV>
                <wp:extent cx="931545" cy="576580"/>
                <wp:effectExtent l="0" t="0" r="190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SC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1545" cy="576580"/>
                        </a:xfrm>
                        <a:prstGeom prst="rect">
                          <a:avLst/>
                        </a:prstGeom>
                      </pic:spPr>
                    </pic:pic>
                  </a:graphicData>
                </a:graphic>
                <wp14:sizeRelH relativeFrom="margin">
                  <wp14:pctWidth>0</wp14:pctWidth>
                </wp14:sizeRelH>
                <wp14:sizeRelV relativeFrom="margin">
                  <wp14:pctHeight>0</wp14:pctHeight>
                </wp14:sizeRelV>
              </wp:anchor>
            </w:drawing>
          </w:r>
          <w:r w:rsidR="00D52B79">
            <w:rPr>
              <w:noProof/>
            </w:rPr>
            <w:drawing>
              <wp:inline distT="0" distB="0" distL="0" distR="0" wp14:anchorId="3B9B63F8" wp14:editId="5356EEB8">
                <wp:extent cx="2286000" cy="446556"/>
                <wp:effectExtent l="0" t="0" r="0" b="0"/>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vest in people - standard-0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86000" cy="446556"/>
                        </a:xfrm>
                        <a:prstGeom prst="rect">
                          <a:avLst/>
                        </a:prstGeom>
                      </pic:spPr>
                    </pic:pic>
                  </a:graphicData>
                </a:graphic>
              </wp:inline>
            </w:drawing>
          </w:r>
          <w:r w:rsidR="005D459B">
            <w:br w:type="page"/>
          </w:r>
        </w:p>
      </w:sdtContent>
    </w:sdt>
    <w:p w14:paraId="17953E03" w14:textId="77777777" w:rsidR="00AE4165" w:rsidRDefault="00AE4165" w:rsidP="00AE4165">
      <w:pPr>
        <w:pStyle w:val="Un-numberedheading"/>
      </w:pPr>
      <w:bookmarkStart w:id="0" w:name="_Toc431303688"/>
      <w:r>
        <w:lastRenderedPageBreak/>
        <w:t>Introduction from Rachel Fletcher, Chief Executive</w:t>
      </w:r>
    </w:p>
    <w:p w14:paraId="17953E04" w14:textId="77777777" w:rsidR="00AE4165" w:rsidRDefault="00E16B1A" w:rsidP="00AE4165">
      <w:pPr>
        <w:pStyle w:val="Emphasisedtext"/>
        <w:spacing w:before="600"/>
        <w:rPr>
          <w:noProof/>
        </w:rPr>
      </w:pPr>
      <w:r>
        <w:rPr>
          <w:noProof/>
        </w:rPr>
        <w:drawing>
          <wp:anchor distT="0" distB="0" distL="114300" distR="114300" simplePos="0" relativeHeight="251674624" behindDoc="1" locked="0" layoutInCell="1" allowOverlap="1" wp14:anchorId="17953EBC" wp14:editId="17953EBD">
            <wp:simplePos x="0" y="0"/>
            <wp:positionH relativeFrom="margin">
              <wp:align>right</wp:align>
            </wp:positionH>
            <wp:positionV relativeFrom="paragraph">
              <wp:posOffset>60960</wp:posOffset>
            </wp:positionV>
            <wp:extent cx="1440000" cy="1440000"/>
            <wp:effectExtent l="0" t="0" r="8255" b="8255"/>
            <wp:wrapTight wrapText="bothSides">
              <wp:wrapPolygon edited="0">
                <wp:start x="0" y="0"/>
                <wp:lineTo x="0" y="21438"/>
                <wp:lineTo x="21438" y="21438"/>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chel Fletcher squar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margin">
              <wp14:pctWidth>0</wp14:pctWidth>
            </wp14:sizeRelH>
            <wp14:sizeRelV relativeFrom="margin">
              <wp14:pctHeight>0</wp14:pctHeight>
            </wp14:sizeRelV>
          </wp:anchor>
        </w:drawing>
      </w:r>
      <w:r w:rsidR="00F16581">
        <w:rPr>
          <w:noProof/>
        </w:rPr>
        <w:t>Improving life through water</w:t>
      </w:r>
      <w:r w:rsidR="00AE4165" w:rsidRPr="006D09A0">
        <w:rPr>
          <w:noProof/>
        </w:rPr>
        <w:t>.</w:t>
      </w:r>
    </w:p>
    <w:p w14:paraId="17953E05" w14:textId="77777777" w:rsidR="00F16581" w:rsidRPr="00F16581" w:rsidRDefault="00F16581" w:rsidP="00F16581">
      <w:pPr>
        <w:pStyle w:val="Emphasisedtext"/>
        <w:rPr>
          <w:rFonts w:ascii="Arial" w:hAnsi="Arial"/>
          <w:color w:val="auto"/>
          <w:sz w:val="24"/>
        </w:rPr>
      </w:pPr>
      <w:r w:rsidRPr="00F16581">
        <w:rPr>
          <w:rFonts w:ascii="Arial" w:hAnsi="Arial"/>
          <w:color w:val="auto"/>
          <w:sz w:val="24"/>
        </w:rPr>
        <w:t>Water companies support all aspects of life. Safe and reliable water and wastewater services are essential for our day to day lives, our wellbeing, and our natural world.</w:t>
      </w:r>
    </w:p>
    <w:p w14:paraId="17953E06" w14:textId="77777777" w:rsidR="00F16581" w:rsidRPr="00F16581" w:rsidRDefault="00F16581" w:rsidP="00F16581">
      <w:pPr>
        <w:pStyle w:val="Emphasisedtext"/>
        <w:rPr>
          <w:rFonts w:ascii="Arial" w:hAnsi="Arial"/>
          <w:color w:val="auto"/>
          <w:sz w:val="24"/>
        </w:rPr>
      </w:pPr>
      <w:r w:rsidRPr="00F16581">
        <w:rPr>
          <w:rFonts w:ascii="Arial" w:hAnsi="Arial"/>
          <w:color w:val="auto"/>
          <w:sz w:val="24"/>
        </w:rPr>
        <w:t>And as the economic regulator of water and waste water in England and Wales, our role is to enable, incentivise and hold companies to account for providing the very best for customers, society and the environment now and in the future. We also oversee the markets that exist in the water sector to make sure they are working for customers.</w:t>
      </w:r>
    </w:p>
    <w:p w14:paraId="17953E07" w14:textId="77777777" w:rsidR="00F16581" w:rsidRPr="00F16581" w:rsidRDefault="00F16581" w:rsidP="00F16581">
      <w:pPr>
        <w:pStyle w:val="Emphasisedtext"/>
        <w:rPr>
          <w:rFonts w:ascii="Arial" w:hAnsi="Arial"/>
          <w:color w:val="auto"/>
          <w:sz w:val="24"/>
        </w:rPr>
      </w:pPr>
      <w:r w:rsidRPr="00F16581">
        <w:rPr>
          <w:rFonts w:ascii="Arial" w:hAnsi="Arial"/>
          <w:color w:val="auto"/>
          <w:sz w:val="24"/>
        </w:rPr>
        <w:t>To achieve this, we’ve set ourselves three goals. They are to:</w:t>
      </w:r>
    </w:p>
    <w:p w14:paraId="17953E08" w14:textId="77777777" w:rsidR="00F16581" w:rsidRPr="00F16581" w:rsidRDefault="00F16581" w:rsidP="00F16581">
      <w:pPr>
        <w:pStyle w:val="Emphasisedtext"/>
        <w:numPr>
          <w:ilvl w:val="0"/>
          <w:numId w:val="8"/>
        </w:numPr>
        <w:rPr>
          <w:rFonts w:ascii="Arial" w:hAnsi="Arial"/>
          <w:color w:val="auto"/>
          <w:sz w:val="24"/>
        </w:rPr>
      </w:pPr>
      <w:r w:rsidRPr="00F16581">
        <w:rPr>
          <w:rFonts w:ascii="Arial" w:hAnsi="Arial"/>
          <w:color w:val="auto"/>
          <w:sz w:val="24"/>
        </w:rPr>
        <w:t>transform water companies’ performance;</w:t>
      </w:r>
      <w:r>
        <w:rPr>
          <w:rFonts w:ascii="Arial" w:hAnsi="Arial"/>
          <w:color w:val="auto"/>
          <w:sz w:val="24"/>
        </w:rPr>
        <w:t xml:space="preserve"> </w:t>
      </w:r>
    </w:p>
    <w:p w14:paraId="17953E09" w14:textId="77777777" w:rsidR="00F16581" w:rsidRPr="00F16581" w:rsidRDefault="00F16581" w:rsidP="00F16581">
      <w:pPr>
        <w:pStyle w:val="Emphasisedtext"/>
        <w:numPr>
          <w:ilvl w:val="0"/>
          <w:numId w:val="8"/>
        </w:numPr>
        <w:rPr>
          <w:rFonts w:ascii="Arial" w:hAnsi="Arial"/>
          <w:color w:val="auto"/>
          <w:sz w:val="24"/>
        </w:rPr>
      </w:pPr>
      <w:r w:rsidRPr="00F16581">
        <w:rPr>
          <w:rFonts w:ascii="Arial" w:hAnsi="Arial"/>
          <w:color w:val="auto"/>
          <w:sz w:val="24"/>
        </w:rPr>
        <w:t>drive water companies to meet long-term challenges through increased collaboration and partnerships; and</w:t>
      </w:r>
      <w:r>
        <w:rPr>
          <w:rFonts w:ascii="Arial" w:hAnsi="Arial"/>
          <w:color w:val="auto"/>
          <w:sz w:val="24"/>
        </w:rPr>
        <w:t xml:space="preserve"> </w:t>
      </w:r>
    </w:p>
    <w:p w14:paraId="17953E0A" w14:textId="77777777" w:rsidR="00F16581" w:rsidRPr="00F16581" w:rsidRDefault="00F16581" w:rsidP="00F16581">
      <w:pPr>
        <w:pStyle w:val="Emphasisedtext"/>
        <w:numPr>
          <w:ilvl w:val="0"/>
          <w:numId w:val="8"/>
        </w:numPr>
        <w:rPr>
          <w:rFonts w:ascii="Arial" w:hAnsi="Arial"/>
          <w:color w:val="auto"/>
          <w:sz w:val="24"/>
        </w:rPr>
      </w:pPr>
      <w:proofErr w:type="gramStart"/>
      <w:r w:rsidRPr="00F16581">
        <w:rPr>
          <w:rFonts w:ascii="Arial" w:hAnsi="Arial"/>
          <w:color w:val="auto"/>
          <w:sz w:val="24"/>
        </w:rPr>
        <w:t>for</w:t>
      </w:r>
      <w:proofErr w:type="gramEnd"/>
      <w:r w:rsidRPr="00F16581">
        <w:rPr>
          <w:rFonts w:ascii="Arial" w:hAnsi="Arial"/>
          <w:color w:val="auto"/>
          <w:sz w:val="24"/>
        </w:rPr>
        <w:t xml:space="preserve"> water companies to provide greater public value, delivering more for customers, society and the environment. </w:t>
      </w:r>
    </w:p>
    <w:p w14:paraId="17953E0B" w14:textId="77777777" w:rsidR="00F16581" w:rsidRPr="00F16581" w:rsidRDefault="00F16581" w:rsidP="00F16581">
      <w:pPr>
        <w:pStyle w:val="Emphasisedtext"/>
        <w:rPr>
          <w:rFonts w:ascii="Arial" w:hAnsi="Arial"/>
          <w:color w:val="auto"/>
          <w:sz w:val="24"/>
        </w:rPr>
      </w:pPr>
      <w:r w:rsidRPr="00F16581">
        <w:rPr>
          <w:rFonts w:ascii="Arial" w:hAnsi="Arial"/>
          <w:color w:val="auto"/>
          <w:sz w:val="24"/>
        </w:rPr>
        <w:t>Delivering these goals will help to meet customers’ needs: ensure reliable and safe water supplies today with a better environment, affordable bills and a resilient and sustainable future for water.</w:t>
      </w:r>
    </w:p>
    <w:p w14:paraId="17953E0C" w14:textId="77777777" w:rsidR="00F16581" w:rsidRPr="00F16581" w:rsidRDefault="00F16581" w:rsidP="00F16581">
      <w:pPr>
        <w:pStyle w:val="Emphasisedtext"/>
        <w:rPr>
          <w:rFonts w:ascii="Arial" w:hAnsi="Arial"/>
          <w:color w:val="auto"/>
          <w:sz w:val="24"/>
        </w:rPr>
      </w:pPr>
      <w:r w:rsidRPr="00F16581">
        <w:rPr>
          <w:rFonts w:ascii="Arial" w:hAnsi="Arial"/>
          <w:color w:val="auto"/>
          <w:sz w:val="24"/>
        </w:rPr>
        <w:t>As we do this, we will be working to fulfil the UK and Welsh Governments’ strategic priorities for Ofwat, and UK and Welsh Government policy.</w:t>
      </w:r>
    </w:p>
    <w:p w14:paraId="17953E0D" w14:textId="77777777" w:rsidR="00AE4165" w:rsidRDefault="00F16581" w:rsidP="00F16581">
      <w:pPr>
        <w:pStyle w:val="Emphasisedtext"/>
      </w:pPr>
      <w:r w:rsidRPr="00F16581">
        <w:rPr>
          <w:rFonts w:ascii="Arial" w:hAnsi="Arial"/>
          <w:color w:val="auto"/>
          <w:sz w:val="24"/>
        </w:rPr>
        <w:t>We’re ambitious about the future and looking for people who can help us to achieve our goals. Thanks for your interest in joining Ofwat. We look forward to receiving your application.</w:t>
      </w:r>
    </w:p>
    <w:p w14:paraId="17953E0E" w14:textId="77777777" w:rsidR="00AE4165" w:rsidRDefault="00AE4165" w:rsidP="00AE4165">
      <w:pPr>
        <w:pStyle w:val="Emphasisedtext"/>
      </w:pPr>
      <w:r>
        <w:t>Rachel Fletcher</w:t>
      </w:r>
      <w:r>
        <w:br/>
      </w:r>
      <w:r w:rsidRPr="006D09A0">
        <w:t>Ofwat Chief Executive</w:t>
      </w:r>
    </w:p>
    <w:p w14:paraId="17953E0F" w14:textId="77777777" w:rsidR="005D7A53" w:rsidRPr="0055708F" w:rsidRDefault="00C579F6" w:rsidP="0055708F">
      <w:pPr>
        <w:pStyle w:val="Heading1"/>
      </w:pPr>
      <w:r w:rsidRPr="0055708F">
        <w:lastRenderedPageBreak/>
        <w:t>About Ofwat and the role</w:t>
      </w:r>
      <w:bookmarkEnd w:id="0"/>
    </w:p>
    <w:p w14:paraId="17953E10" w14:textId="77777777" w:rsidR="00F16581" w:rsidRDefault="00ED65A5" w:rsidP="00F16581">
      <w:r w:rsidRPr="00F16581">
        <w:t>Ofwat (the Water Services Regulation Authority) is the economic regulator of the water and wastewater sector in England and Wales. Our role is to help it build trust and confidence with customers, the environment and wider society.</w:t>
      </w:r>
      <w:r w:rsidR="00F16581">
        <w:t xml:space="preserve"> </w:t>
      </w:r>
      <w:r w:rsidRPr="00F16581">
        <w:t>Ofwat has an ambitious</w:t>
      </w:r>
      <w:r w:rsidR="00F16581">
        <w:t xml:space="preserve"> new</w:t>
      </w:r>
      <w:r w:rsidRPr="00F16581">
        <w:t xml:space="preserve"> </w:t>
      </w:r>
      <w:hyperlink r:id="rId16" w:history="1">
        <w:r w:rsidRPr="00F16581">
          <w:rPr>
            <w:rStyle w:val="Hyperlink"/>
          </w:rPr>
          <w:t>strategy</w:t>
        </w:r>
      </w:hyperlink>
      <w:r w:rsidRPr="00F16581">
        <w:t xml:space="preserve"> </w:t>
      </w:r>
      <w:r w:rsidR="00F16581">
        <w:t>and as a regulator we are setting ourselves up to achieve and equal the ambition of this new strategy. It matters to us that things on the ground really change so that our impact on customers, the environment and the future of water is tangible and meaningful.</w:t>
      </w:r>
    </w:p>
    <w:p w14:paraId="17953E11" w14:textId="77777777" w:rsidR="00F16581" w:rsidRPr="00ED65A5" w:rsidRDefault="00ED65A5" w:rsidP="00F16581">
      <w:r>
        <w:t>Our work is high-profile and fast-</w:t>
      </w:r>
      <w:r w:rsidRPr="00DD0AD6">
        <w:t>moving, within a dynamic and agile environment.</w:t>
      </w:r>
      <w:r w:rsidR="00F16581">
        <w:t xml:space="preserve"> </w:t>
      </w:r>
      <w:r w:rsidRPr="00DD0AD6">
        <w:t>The work that you’ll be involved in every day will be about helping us to deliver our strategy, helping to us to be the regulator we want to be and helping the sector to deliver outcomes that matter to customers and society.</w:t>
      </w:r>
      <w:r w:rsidR="00F16581">
        <w:t xml:space="preserve"> </w:t>
      </w:r>
      <w:r>
        <w:t xml:space="preserve">Our </w:t>
      </w:r>
      <w:r w:rsidRPr="00F16581">
        <w:t xml:space="preserve">strategy sets out </w:t>
      </w:r>
      <w:r>
        <w:t xml:space="preserve">the role Ofwat will play. </w:t>
      </w:r>
      <w:r w:rsidR="00F16581" w:rsidRPr="00F16581">
        <w:t>We will adapt, be confident, act with purpose and integrity and continuously improve so that we make the greatest contribution possible to improving life through water.</w:t>
      </w:r>
    </w:p>
    <w:p w14:paraId="78090710" w14:textId="21B4D0AC" w:rsidR="00406108" w:rsidRDefault="0057161F" w:rsidP="00466AB3">
      <w:pPr>
        <w:pStyle w:val="Heading2"/>
      </w:pPr>
      <w:r w:rsidRPr="0057161F">
        <w:t>RAPID cluster</w:t>
      </w:r>
    </w:p>
    <w:p w14:paraId="5A7BBE56" w14:textId="0305175D" w:rsidR="00F662CA" w:rsidRDefault="00F662CA" w:rsidP="00F662CA">
      <w:r>
        <w:t xml:space="preserve">Water is a precious resource. Our water resources are coming under increasing pressure from population growth, economic development and climate change. Society also expects that water will be available for users whilst also improving the environment. These factors all contribute to a growing sense of urgency that we need to act now to develop </w:t>
      </w:r>
      <w:r w:rsidR="00EB2444">
        <w:t xml:space="preserve">efficient </w:t>
      </w:r>
      <w:r>
        <w:t>new national supply options to avoid restrictions in the near future.</w:t>
      </w:r>
    </w:p>
    <w:p w14:paraId="6E89A6ED" w14:textId="45A7077B" w:rsidR="00F662CA" w:rsidRDefault="00F662CA" w:rsidP="00F662CA">
      <w:r>
        <w:t xml:space="preserve">In response </w:t>
      </w:r>
      <w:r w:rsidR="00406108">
        <w:t xml:space="preserve">the (Regulator’s Alliance for Progressing Infrastructure Development) </w:t>
      </w:r>
      <w:r>
        <w:t>RAPID has been formed to help accelerate the development of new water infrastructure and design future regulatory frameworks. Th</w:t>
      </w:r>
      <w:r w:rsidR="00406108">
        <w:t>e joint team is made up of the three</w:t>
      </w:r>
      <w:r>
        <w:t xml:space="preserve"> water regulators Ofwat, </w:t>
      </w:r>
      <w:r w:rsidR="00406108">
        <w:t xml:space="preserve">the </w:t>
      </w:r>
      <w:r>
        <w:t>Environment Agency and Drinking Water Inspectorate. It will provide a seamless regulatory interface, working with the industry to promote the development of national water resources infrastructure that is in the best interests of water users and the environment.</w:t>
      </w:r>
    </w:p>
    <w:p w14:paraId="3F855443" w14:textId="547D9584" w:rsidR="00F662CA" w:rsidRDefault="00406108" w:rsidP="00F662CA">
      <w:r>
        <w:t>RAPID is working alongside the five regional water resources planning groups, to ensure that we have timely delivery of new infrastructure. Where necessary, RAPID will assist the regulators in identifying and overcoming potential regulatory and commercial barriers. RAPID is overseen by a Board chaired by the Ofwat CEO, with membership from each of the regulators.</w:t>
      </w:r>
    </w:p>
    <w:p w14:paraId="738E4476" w14:textId="0DEEAFCD" w:rsidR="005D68C4" w:rsidRDefault="005D68C4" w:rsidP="00F662CA">
      <w:r>
        <w:lastRenderedPageBreak/>
        <w:t xml:space="preserve">The successful applicant will be working for Ofwat but allocated to the cross-regulator RAPID cluster to support its work. </w:t>
      </w:r>
    </w:p>
    <w:p w14:paraId="17953E13" w14:textId="6A583DCA" w:rsidR="00134AF5" w:rsidRDefault="00134AF5" w:rsidP="00134AF5">
      <w:pPr>
        <w:pStyle w:val="Heading2"/>
        <w:rPr>
          <w:sz w:val="24"/>
          <w:szCs w:val="24"/>
        </w:rPr>
      </w:pPr>
      <w:r w:rsidRPr="00134A05">
        <w:t xml:space="preserve">Role expectations </w:t>
      </w:r>
    </w:p>
    <w:p w14:paraId="37A9EA2A" w14:textId="6AEB961F" w:rsidR="00134A05" w:rsidRDefault="00134A05" w:rsidP="00134A05">
      <w:r>
        <w:t xml:space="preserve">We are seeking </w:t>
      </w:r>
      <w:r w:rsidR="00D61440">
        <w:t xml:space="preserve">an </w:t>
      </w:r>
      <w:r>
        <w:t>experienced water sector engineer</w:t>
      </w:r>
      <w:r w:rsidR="00434AEE">
        <w:t>, scientist or environmentalist</w:t>
      </w:r>
      <w:r>
        <w:t xml:space="preserve">. </w:t>
      </w:r>
      <w:r w:rsidR="00D61440">
        <w:t>The successful candidate</w:t>
      </w:r>
      <w:r>
        <w:t xml:space="preserve"> will play an important role in delivering our strategy and will need to be able to respond flexibly to the nee</w:t>
      </w:r>
      <w:r w:rsidR="00D61440">
        <w:t>ds across the organisation. They</w:t>
      </w:r>
      <w:r>
        <w:t xml:space="preserve"> </w:t>
      </w:r>
      <w:r w:rsidR="00D61440">
        <w:t>will</w:t>
      </w:r>
      <w:r>
        <w:t xml:space="preserve"> be deployed </w:t>
      </w:r>
      <w:r w:rsidR="00D61440">
        <w:t>in the</w:t>
      </w:r>
      <w:r>
        <w:t xml:space="preserve"> newly formed RAPID </w:t>
      </w:r>
      <w:r w:rsidR="00D61440">
        <w:t>cluster</w:t>
      </w:r>
      <w:r>
        <w:t xml:space="preserve">, a cross regulatory </w:t>
      </w:r>
      <w:r w:rsidR="00431A34">
        <w:t>unit</w:t>
      </w:r>
      <w:r>
        <w:t xml:space="preserve"> to facilitate the development of new strategic water resources infrastructure for generations to come. </w:t>
      </w:r>
    </w:p>
    <w:p w14:paraId="0C890ED3" w14:textId="66FD8C4A" w:rsidR="00134A05" w:rsidRDefault="00C708ED" w:rsidP="00134A05">
      <w:r>
        <w:t>This</w:t>
      </w:r>
      <w:r w:rsidR="001E79F1">
        <w:t xml:space="preserve"> role</w:t>
      </w:r>
      <w:r w:rsidR="00134A05">
        <w:t xml:space="preserve"> require</w:t>
      </w:r>
      <w:r w:rsidR="001E79F1">
        <w:t>s</w:t>
      </w:r>
      <w:r w:rsidR="00134A05">
        <w:t xml:space="preserve"> a high level of technical competency, </w:t>
      </w:r>
      <w:r w:rsidR="00EE4103">
        <w:t xml:space="preserve">excellent </w:t>
      </w:r>
      <w:r w:rsidR="00134A05">
        <w:t xml:space="preserve">written and oral communication skills, policy </w:t>
      </w:r>
      <w:r w:rsidR="0089527D">
        <w:t xml:space="preserve">development </w:t>
      </w:r>
      <w:r w:rsidR="00134A05">
        <w:t xml:space="preserve">skills, well developed people and stakeholder management skills, and a track record of delivery against challenging deadlines. </w:t>
      </w:r>
    </w:p>
    <w:p w14:paraId="78DBDA32" w14:textId="441B0E20" w:rsidR="00EE4103" w:rsidRDefault="009D04FC" w:rsidP="00EE4103">
      <w:r>
        <w:t xml:space="preserve">The </w:t>
      </w:r>
      <w:r w:rsidR="007A1E88">
        <w:t xml:space="preserve">successful candidate </w:t>
      </w:r>
      <w:r w:rsidR="00434AEE">
        <w:t xml:space="preserve">will be in our </w:t>
      </w:r>
      <w:r w:rsidR="00434AEE" w:rsidRPr="00434AEE">
        <w:t>water engineering</w:t>
      </w:r>
      <w:r w:rsidR="00862B21">
        <w:t>,</w:t>
      </w:r>
      <w:r w:rsidR="00434AEE" w:rsidRPr="00434AEE">
        <w:t xml:space="preserve"> science and technology (WEST)</w:t>
      </w:r>
      <w:r w:rsidR="00434AEE">
        <w:t xml:space="preserve"> profession but be </w:t>
      </w:r>
      <w:r w:rsidR="00134A05">
        <w:t xml:space="preserve">expected to work with other professionals </w:t>
      </w:r>
      <w:r>
        <w:t xml:space="preserve">(economists, policy specialists, data analysts, corporate finance experts and other experts) </w:t>
      </w:r>
      <w:r w:rsidR="00134A05">
        <w:t xml:space="preserve">to solve regulatory problems. Our </w:t>
      </w:r>
      <w:r w:rsidR="00AA6477">
        <w:t xml:space="preserve">WEST </w:t>
      </w:r>
      <w:r w:rsidR="00134A05">
        <w:t xml:space="preserve">roles are not purely technical advisory.  We expect </w:t>
      </w:r>
      <w:r w:rsidR="00AA6477">
        <w:t>them</w:t>
      </w:r>
      <w:r w:rsidR="00134A05">
        <w:t xml:space="preserve"> to take part in policy development</w:t>
      </w:r>
      <w:r w:rsidR="00EE4103">
        <w:t xml:space="preserve"> and have the ability</w:t>
      </w:r>
      <w:r w:rsidR="00EE4103" w:rsidRPr="00EE4103">
        <w:t xml:space="preserve"> </w:t>
      </w:r>
      <w:r w:rsidR="00EE4103">
        <w:t xml:space="preserve">to communicate complex analysis to non-technical audiences. </w:t>
      </w:r>
    </w:p>
    <w:p w14:paraId="7FC15688" w14:textId="39C7843E" w:rsidR="00267F87" w:rsidRDefault="002106CF" w:rsidP="00267F87">
      <w:r>
        <w:t>A</w:t>
      </w:r>
      <w:r w:rsidR="00267F87">
        <w:t xml:space="preserve">s a Senior Associate, you will play a key role in </w:t>
      </w:r>
      <w:r w:rsidR="00ED6565">
        <w:t xml:space="preserve">the RAPID cluster and developing </w:t>
      </w:r>
      <w:proofErr w:type="spellStart"/>
      <w:r w:rsidR="00ED6565">
        <w:t>Ofwat’s</w:t>
      </w:r>
      <w:proofErr w:type="spellEnd"/>
      <w:r w:rsidR="00ED6565">
        <w:t xml:space="preserve"> approaches to long term water resources planning. You may</w:t>
      </w:r>
      <w:r w:rsidR="00267F87">
        <w:t xml:space="preserve"> lead a small </w:t>
      </w:r>
      <w:proofErr w:type="spellStart"/>
      <w:r w:rsidR="00267F87">
        <w:t>workstream</w:t>
      </w:r>
      <w:proofErr w:type="spellEnd"/>
      <w:r w:rsidR="00267F87">
        <w:t xml:space="preserve"> or manage </w:t>
      </w:r>
      <w:r w:rsidR="001E79F1">
        <w:t>small</w:t>
      </w:r>
      <w:r w:rsidR="00267F87">
        <w:t xml:space="preserve"> project</w:t>
      </w:r>
      <w:r w:rsidR="001E79F1">
        <w:t>s</w:t>
      </w:r>
      <w:r w:rsidR="00267F87">
        <w:t>. You’ll ensure that we’re delivering on our strategic objectives on time and to budget, and also contribute to the effective identification and management of strategic risk and opportunities.</w:t>
      </w:r>
    </w:p>
    <w:p w14:paraId="3721A694" w14:textId="71C666CC" w:rsidR="00267F87" w:rsidRDefault="00ED6565" w:rsidP="00267F87">
      <w:r>
        <w:t>Y</w:t>
      </w:r>
      <w:r w:rsidR="00267F87">
        <w:t xml:space="preserve">ou will have </w:t>
      </w:r>
      <w:r>
        <w:t xml:space="preserve">a degree of </w:t>
      </w:r>
      <w:r w:rsidR="00267F87">
        <w:t xml:space="preserve">autonomy, responsibility, and you will have ample opportunities to develop and consolidate your skill set. You are </w:t>
      </w:r>
      <w:r w:rsidR="001E79F1">
        <w:t xml:space="preserve">expected to be </w:t>
      </w:r>
      <w:r w:rsidR="00267F87">
        <w:t xml:space="preserve">a self-starter and do not require detailed supervision from senior colleagues. You will continue to hone your judgement and be expected to exercise it responsibly in line with our strategy and ways of working. You will also be developing and using your ability to persuasively communicate and engage with stakeholders, both internally and externally. You are expected to provide support to colleagues across the </w:t>
      </w:r>
      <w:r w:rsidR="00115C0B">
        <w:t>organisation</w:t>
      </w:r>
      <w:r w:rsidR="00267F87">
        <w:t xml:space="preserve">, proactively sharing skills and knowledge, and equally will be supported by coaching and mentoring. </w:t>
      </w:r>
    </w:p>
    <w:p w14:paraId="10F77F09" w14:textId="430FD116" w:rsidR="00267F87" w:rsidRPr="00134A05" w:rsidRDefault="00267F87" w:rsidP="00267F87">
      <w:r>
        <w:lastRenderedPageBreak/>
        <w:t xml:space="preserve">You </w:t>
      </w:r>
      <w:r w:rsidR="00570F3C">
        <w:t>will continuously</w:t>
      </w:r>
      <w:r>
        <w:t xml:space="preserve"> develop your skills through continued Learning and Development within your profession and within the </w:t>
      </w:r>
      <w:r w:rsidR="002106CF">
        <w:t>RAPID cluster</w:t>
      </w:r>
      <w:r>
        <w:t>.</w:t>
      </w:r>
    </w:p>
    <w:p w14:paraId="17953E14" w14:textId="49923249" w:rsidR="00134AF5" w:rsidRDefault="00134AF5" w:rsidP="00134AF5">
      <w:pPr>
        <w:pStyle w:val="Heading2"/>
        <w:rPr>
          <w:sz w:val="24"/>
          <w:szCs w:val="24"/>
        </w:rPr>
      </w:pPr>
      <w:r w:rsidRPr="004833BA">
        <w:rPr>
          <w:lang w:val="en-US"/>
        </w:rPr>
        <w:t xml:space="preserve">Key deliverables </w:t>
      </w:r>
    </w:p>
    <w:p w14:paraId="5647521D" w14:textId="1EABDCA5" w:rsidR="00134A05" w:rsidRDefault="004833BA" w:rsidP="004B4930">
      <w:pPr>
        <w:spacing w:line="240" w:lineRule="auto"/>
      </w:pPr>
      <w:r>
        <w:t>Some of the key areas of work include:</w:t>
      </w:r>
    </w:p>
    <w:p w14:paraId="2DBF4AF8" w14:textId="5FE3E669" w:rsidR="004833BA" w:rsidRDefault="004B4930" w:rsidP="004B4930">
      <w:pPr>
        <w:pStyle w:val="ListParagraph"/>
        <w:numPr>
          <w:ilvl w:val="0"/>
          <w:numId w:val="9"/>
        </w:numPr>
        <w:spacing w:before="120" w:after="120" w:line="240" w:lineRule="auto"/>
        <w:ind w:left="714" w:hanging="357"/>
        <w:contextualSpacing w:val="0"/>
      </w:pPr>
      <w:r>
        <w:t>Work closely with the other regulators to support</w:t>
      </w:r>
      <w:r w:rsidR="004833BA">
        <w:t xml:space="preserve"> the development of </w:t>
      </w:r>
      <w:r w:rsidR="00AA6477">
        <w:t xml:space="preserve">the </w:t>
      </w:r>
      <w:r w:rsidR="004833BA">
        <w:t>water resources planning framework and technical guidelines</w:t>
      </w:r>
      <w:r>
        <w:t>.</w:t>
      </w:r>
    </w:p>
    <w:p w14:paraId="70002636" w14:textId="41542208" w:rsidR="004B4930" w:rsidRDefault="004B4930" w:rsidP="00C93B4C">
      <w:pPr>
        <w:pStyle w:val="ListParagraph"/>
        <w:numPr>
          <w:ilvl w:val="0"/>
          <w:numId w:val="9"/>
        </w:numPr>
        <w:spacing w:before="120" w:after="120" w:line="240" w:lineRule="auto"/>
        <w:contextualSpacing w:val="0"/>
      </w:pPr>
      <w:r>
        <w:t xml:space="preserve">Support </w:t>
      </w:r>
      <w:r w:rsidR="00CD7515">
        <w:t xml:space="preserve">the </w:t>
      </w:r>
      <w:r w:rsidR="00C93B4C" w:rsidRPr="00C93B4C">
        <w:t>strategic regional water resource solution gated assessment process including reviewing company submissions and implementing lessons learned</w:t>
      </w:r>
    </w:p>
    <w:p w14:paraId="56FC0300" w14:textId="076A8339" w:rsidR="00CD7515" w:rsidRDefault="00B2452B" w:rsidP="004B4930">
      <w:pPr>
        <w:pStyle w:val="ListParagraph"/>
        <w:numPr>
          <w:ilvl w:val="0"/>
          <w:numId w:val="9"/>
        </w:numPr>
        <w:spacing w:before="120" w:after="120" w:line="240" w:lineRule="auto"/>
        <w:ind w:left="714" w:hanging="357"/>
        <w:contextualSpacing w:val="0"/>
      </w:pPr>
      <w:r>
        <w:t>Support the development of wider regulatory and commercial frameworks to support large scale multi-party infrastructure development</w:t>
      </w:r>
    </w:p>
    <w:p w14:paraId="1C38DFC0" w14:textId="28CE5607" w:rsidR="00B2452B" w:rsidRDefault="00B2452B" w:rsidP="004B4930">
      <w:pPr>
        <w:pStyle w:val="ListParagraph"/>
        <w:numPr>
          <w:ilvl w:val="0"/>
          <w:numId w:val="9"/>
        </w:numPr>
        <w:spacing w:before="120" w:after="120" w:line="240" w:lineRule="auto"/>
        <w:ind w:left="714" w:hanging="357"/>
        <w:contextualSpacing w:val="0"/>
      </w:pPr>
      <w:r>
        <w:t xml:space="preserve">Provide scrutiny, challenge and </w:t>
      </w:r>
      <w:r w:rsidR="00C93B4C">
        <w:t xml:space="preserve">written and oral </w:t>
      </w:r>
      <w:r>
        <w:t xml:space="preserve">feedback </w:t>
      </w:r>
      <w:r w:rsidR="00C93B4C">
        <w:t>on</w:t>
      </w:r>
      <w:r>
        <w:t xml:space="preserve"> regional water resource plans and company water resources management plans </w:t>
      </w:r>
    </w:p>
    <w:p w14:paraId="7BABF918" w14:textId="7A70E7E6" w:rsidR="009A308B" w:rsidRPr="00134A05" w:rsidRDefault="00C93B4C" w:rsidP="004B4930">
      <w:pPr>
        <w:pStyle w:val="ListParagraph"/>
        <w:numPr>
          <w:ilvl w:val="0"/>
          <w:numId w:val="9"/>
        </w:numPr>
        <w:spacing w:before="120" w:after="120" w:line="240" w:lineRule="auto"/>
        <w:ind w:left="714" w:hanging="357"/>
        <w:contextualSpacing w:val="0"/>
      </w:pPr>
      <w:r>
        <w:t>Provide w</w:t>
      </w:r>
      <w:r w:rsidR="009A308B">
        <w:t xml:space="preserve">ider support of the RAPID </w:t>
      </w:r>
      <w:r>
        <w:t>t</w:t>
      </w:r>
      <w:r w:rsidR="009A308B">
        <w:t xml:space="preserve">eam in delivering its </w:t>
      </w:r>
      <w:hyperlink r:id="rId17" w:history="1">
        <w:r w:rsidR="009A308B" w:rsidRPr="00C93B4C">
          <w:rPr>
            <w:rStyle w:val="Hyperlink"/>
          </w:rPr>
          <w:t>forward programme</w:t>
        </w:r>
      </w:hyperlink>
      <w:r>
        <w:t xml:space="preserve"> and the other related Ofwat clusters (primarily Future Assets &amp; Resources and PR24 &amp; beyond).</w:t>
      </w:r>
    </w:p>
    <w:p w14:paraId="17953E15" w14:textId="347E3F89" w:rsidR="00134AF5" w:rsidRPr="00E147F1" w:rsidRDefault="00134AF5" w:rsidP="00134AF5">
      <w:pPr>
        <w:pStyle w:val="Heading2"/>
      </w:pPr>
      <w:r w:rsidRPr="00134A05">
        <w:t xml:space="preserve">Professional requirements </w:t>
      </w:r>
    </w:p>
    <w:tbl>
      <w:tblPr>
        <w:tblStyle w:val="Ofwatnew"/>
        <w:tblW w:w="5063" w:type="pct"/>
        <w:tblLook w:val="04A0" w:firstRow="1" w:lastRow="0" w:firstColumn="1" w:lastColumn="0" w:noHBand="0" w:noVBand="1"/>
      </w:tblPr>
      <w:tblGrid>
        <w:gridCol w:w="1539"/>
        <w:gridCol w:w="3336"/>
        <w:gridCol w:w="4255"/>
      </w:tblGrid>
      <w:tr w:rsidR="00134AF5" w:rsidRPr="00425AD9" w14:paraId="17953E19" w14:textId="77777777" w:rsidTr="00E00230">
        <w:trPr>
          <w:cnfStyle w:val="100000000000" w:firstRow="1" w:lastRow="0" w:firstColumn="0" w:lastColumn="0" w:oddVBand="0" w:evenVBand="0" w:oddHBand="0" w:evenHBand="0" w:firstRowFirstColumn="0" w:firstRowLastColumn="0" w:lastRowFirstColumn="0" w:lastRowLastColumn="0"/>
          <w:trHeight w:val="281"/>
          <w:tblHeader/>
        </w:trPr>
        <w:tc>
          <w:tcPr>
            <w:cnfStyle w:val="000000000100" w:firstRow="0" w:lastRow="0" w:firstColumn="0" w:lastColumn="0" w:oddVBand="0" w:evenVBand="0" w:oddHBand="0" w:evenHBand="0" w:firstRowFirstColumn="1" w:firstRowLastColumn="0" w:lastRowFirstColumn="0" w:lastRowLastColumn="0"/>
            <w:tcW w:w="843" w:type="pct"/>
          </w:tcPr>
          <w:p w14:paraId="17953E16" w14:textId="77777777" w:rsidR="00134AF5" w:rsidRPr="00425AD9" w:rsidRDefault="00134AF5" w:rsidP="00F94A38">
            <w:pPr>
              <w:pStyle w:val="Tabledescriptorcell1"/>
              <w:rPr>
                <w:sz w:val="22"/>
                <w:szCs w:val="22"/>
              </w:rPr>
            </w:pPr>
          </w:p>
        </w:tc>
        <w:tc>
          <w:tcPr>
            <w:tcW w:w="1827" w:type="pct"/>
          </w:tcPr>
          <w:p w14:paraId="17953E17" w14:textId="77777777" w:rsidR="00134AF5" w:rsidRPr="00425AD9" w:rsidRDefault="00983FD4" w:rsidP="00F94A38">
            <w:pPr>
              <w:pStyle w:val="Tabledescriptorcell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Essential</w:t>
            </w:r>
          </w:p>
        </w:tc>
        <w:tc>
          <w:tcPr>
            <w:tcW w:w="2330" w:type="pct"/>
          </w:tcPr>
          <w:p w14:paraId="17953E18" w14:textId="77777777" w:rsidR="00134AF5" w:rsidRPr="00425AD9" w:rsidRDefault="00983FD4" w:rsidP="00F94A38">
            <w:pPr>
              <w:pStyle w:val="Tabledescriptorcells"/>
              <w:cnfStyle w:val="100000000000" w:firstRow="1" w:lastRow="0" w:firstColumn="0" w:lastColumn="0" w:oddVBand="0" w:evenVBand="0" w:oddHBand="0" w:evenHBand="0" w:firstRowFirstColumn="0" w:firstRowLastColumn="0" w:lastRowFirstColumn="0" w:lastRowLastColumn="0"/>
              <w:rPr>
                <w:sz w:val="22"/>
                <w:szCs w:val="22"/>
              </w:rPr>
            </w:pPr>
            <w:r>
              <w:rPr>
                <w:sz w:val="22"/>
                <w:szCs w:val="22"/>
              </w:rPr>
              <w:t>Desirable</w:t>
            </w:r>
          </w:p>
        </w:tc>
      </w:tr>
      <w:tr w:rsidR="00134A05" w:rsidRPr="00425AD9" w14:paraId="17953E1D" w14:textId="77777777" w:rsidTr="00E00230">
        <w:trPr>
          <w:cnfStyle w:val="000000100000" w:firstRow="0" w:lastRow="0" w:firstColumn="0" w:lastColumn="0" w:oddVBand="0" w:evenVBand="0" w:oddHBand="1" w:evenHBand="0" w:firstRowFirstColumn="0" w:firstRowLastColumn="0" w:lastRowFirstColumn="0" w:lastRowLastColumn="0"/>
          <w:trHeight w:val="53"/>
        </w:trPr>
        <w:tc>
          <w:tcPr>
            <w:tcW w:w="843" w:type="pct"/>
          </w:tcPr>
          <w:p w14:paraId="17953E1A" w14:textId="77777777" w:rsidR="00134A05" w:rsidRPr="00EE4B8A" w:rsidRDefault="00134A05" w:rsidP="00134A05">
            <w:pPr>
              <w:pStyle w:val="Tableparagraph"/>
              <w:spacing w:before="0" w:after="0"/>
              <w:rPr>
                <w:b/>
              </w:rPr>
            </w:pPr>
            <w:r w:rsidRPr="00EE4B8A">
              <w:rPr>
                <w:b/>
              </w:rPr>
              <w:t>Qualifications</w:t>
            </w:r>
          </w:p>
        </w:tc>
        <w:tc>
          <w:tcPr>
            <w:tcW w:w="1827" w:type="pct"/>
          </w:tcPr>
          <w:p w14:paraId="17953E1B" w14:textId="482CA915" w:rsidR="00134A05" w:rsidRPr="00425AD9" w:rsidRDefault="00134A05" w:rsidP="00134A05">
            <w:pPr>
              <w:pStyle w:val="Tableparagraph"/>
              <w:spacing w:before="0" w:after="0"/>
            </w:pPr>
            <w:r>
              <w:t xml:space="preserve">Graduate qualification in engineering or </w:t>
            </w:r>
            <w:r w:rsidR="000F3B81">
              <w:t xml:space="preserve">similar, or, </w:t>
            </w:r>
            <w:r>
              <w:t>equivalent</w:t>
            </w:r>
            <w:r w:rsidR="00570F3C">
              <w:t xml:space="preserve"> professional experience</w:t>
            </w:r>
            <w:r w:rsidR="000F3B81">
              <w:t xml:space="preserve"> within the appropriate field of expertise to this role.</w:t>
            </w:r>
          </w:p>
        </w:tc>
        <w:tc>
          <w:tcPr>
            <w:tcW w:w="2330" w:type="pct"/>
          </w:tcPr>
          <w:p w14:paraId="33C9AAD6" w14:textId="77777777" w:rsidR="00134A05" w:rsidRDefault="00134A05" w:rsidP="00134A05">
            <w:pPr>
              <w:spacing w:before="0" w:after="0" w:line="240" w:lineRule="auto"/>
              <w:rPr>
                <w:sz w:val="20"/>
              </w:rPr>
            </w:pPr>
            <w:r w:rsidRPr="00134A05">
              <w:rPr>
                <w:sz w:val="20"/>
              </w:rPr>
              <w:t xml:space="preserve">Post graduate degree (or equivalent) in a relevant field. </w:t>
            </w:r>
          </w:p>
          <w:p w14:paraId="54853C43" w14:textId="77777777" w:rsidR="00134A05" w:rsidRPr="00134A05" w:rsidRDefault="00134A05" w:rsidP="00134A05">
            <w:pPr>
              <w:spacing w:before="0" w:after="0" w:line="240" w:lineRule="auto"/>
              <w:rPr>
                <w:sz w:val="20"/>
              </w:rPr>
            </w:pPr>
          </w:p>
          <w:p w14:paraId="17953E1C" w14:textId="5AAB9D8C" w:rsidR="00134A05" w:rsidRPr="00425AD9" w:rsidRDefault="00134A05" w:rsidP="00134A05">
            <w:pPr>
              <w:pStyle w:val="Tableparagraph"/>
              <w:spacing w:before="0" w:after="0"/>
            </w:pPr>
            <w:r w:rsidRPr="00461C58">
              <w:t>Chartered status with engineering or other appropriate professional body</w:t>
            </w:r>
          </w:p>
        </w:tc>
      </w:tr>
      <w:tr w:rsidR="00E00230" w:rsidRPr="00425AD9" w14:paraId="17953E21" w14:textId="77777777" w:rsidTr="00E00230">
        <w:trPr>
          <w:cnfStyle w:val="000000010000" w:firstRow="0" w:lastRow="0" w:firstColumn="0" w:lastColumn="0" w:oddVBand="0" w:evenVBand="0" w:oddHBand="0" w:evenHBand="1" w:firstRowFirstColumn="0" w:firstRowLastColumn="0" w:lastRowFirstColumn="0" w:lastRowLastColumn="0"/>
        </w:trPr>
        <w:tc>
          <w:tcPr>
            <w:tcW w:w="843" w:type="pct"/>
          </w:tcPr>
          <w:p w14:paraId="17953E1E" w14:textId="77777777" w:rsidR="00E00230" w:rsidRPr="00EE4B8A" w:rsidRDefault="00E00230" w:rsidP="00E00230">
            <w:pPr>
              <w:pStyle w:val="Tableparagraph"/>
              <w:rPr>
                <w:b/>
              </w:rPr>
            </w:pPr>
            <w:r w:rsidRPr="00EE4B8A">
              <w:rPr>
                <w:b/>
              </w:rPr>
              <w:t>Experience</w:t>
            </w:r>
          </w:p>
        </w:tc>
        <w:tc>
          <w:tcPr>
            <w:tcW w:w="1827" w:type="pct"/>
          </w:tcPr>
          <w:p w14:paraId="63CCC985" w14:textId="425BD09A" w:rsidR="00282DEC" w:rsidRDefault="00E00230" w:rsidP="00282DEC">
            <w:pPr>
              <w:pStyle w:val="Tableparagraph"/>
              <w:spacing w:before="0" w:after="0"/>
            </w:pPr>
            <w:r>
              <w:t>Experience of carrying out a relevant role within Government, a regulated business, water sector supply chain organisation, consultancy or in another similarly relevant position.</w:t>
            </w:r>
          </w:p>
          <w:p w14:paraId="79058CC1" w14:textId="77777777" w:rsidR="00282DEC" w:rsidRPr="00282DEC" w:rsidRDefault="00282DEC" w:rsidP="00282DEC">
            <w:pPr>
              <w:spacing w:before="0" w:after="0" w:line="240" w:lineRule="auto"/>
            </w:pPr>
          </w:p>
          <w:p w14:paraId="575E8341" w14:textId="2437FD1B" w:rsidR="00282DEC" w:rsidRDefault="00E00230" w:rsidP="00282DEC">
            <w:pPr>
              <w:pStyle w:val="Tableparagraph"/>
              <w:spacing w:before="0" w:after="0"/>
            </w:pPr>
            <w:r w:rsidRPr="00461C58">
              <w:t xml:space="preserve">Experience </w:t>
            </w:r>
            <w:r w:rsidR="006E7A47">
              <w:t xml:space="preserve">or knowledge </w:t>
            </w:r>
            <w:r w:rsidRPr="00461C58">
              <w:t>of developing policy in a complex organisational environment.</w:t>
            </w:r>
          </w:p>
          <w:p w14:paraId="64F5BDAD" w14:textId="77777777" w:rsidR="00282DEC" w:rsidRPr="00282DEC" w:rsidRDefault="00282DEC" w:rsidP="00282DEC">
            <w:pPr>
              <w:spacing w:before="0" w:after="0" w:line="240" w:lineRule="auto"/>
            </w:pPr>
          </w:p>
          <w:p w14:paraId="358A5B2E" w14:textId="0A4C9D94" w:rsidR="00E00230" w:rsidRPr="00E00230" w:rsidRDefault="006E7A47" w:rsidP="00282DEC">
            <w:pPr>
              <w:pStyle w:val="Tableparagraph"/>
              <w:spacing w:before="0" w:after="0"/>
            </w:pPr>
            <w:r>
              <w:t xml:space="preserve">Proven ability </w:t>
            </w:r>
            <w:r w:rsidR="00E00230" w:rsidRPr="00461C58">
              <w:t>of working under pressure to produce high quality analysis to tight timescales whil</w:t>
            </w:r>
            <w:r w:rsidR="00E00230">
              <w:t>e managing competing priorities</w:t>
            </w:r>
          </w:p>
          <w:p w14:paraId="178E3A95" w14:textId="77777777" w:rsidR="00570F3C" w:rsidRDefault="00570F3C" w:rsidP="00282DEC">
            <w:pPr>
              <w:pStyle w:val="Tableparagraph"/>
              <w:spacing w:before="0" w:after="0"/>
            </w:pPr>
          </w:p>
          <w:p w14:paraId="17953E1F" w14:textId="17D8BCC5" w:rsidR="00E00230" w:rsidRPr="00425AD9" w:rsidRDefault="00E00230" w:rsidP="00282DEC">
            <w:pPr>
              <w:pStyle w:val="Tableparagraph"/>
              <w:spacing w:before="0" w:after="0"/>
            </w:pPr>
            <w:r w:rsidRPr="00461C58">
              <w:t>Experience of working effectively in multi-disciplinary teams</w:t>
            </w:r>
            <w:r w:rsidRPr="00E00230">
              <w:t xml:space="preserve"> </w:t>
            </w:r>
          </w:p>
        </w:tc>
        <w:tc>
          <w:tcPr>
            <w:tcW w:w="2330" w:type="pct"/>
          </w:tcPr>
          <w:p w14:paraId="70CE88DC" w14:textId="77777777" w:rsidR="00E00230" w:rsidRDefault="00E00230" w:rsidP="00282DEC">
            <w:pPr>
              <w:pStyle w:val="Tableparagraph"/>
              <w:spacing w:before="0" w:after="0"/>
            </w:pPr>
            <w:r w:rsidRPr="00461C58">
              <w:t xml:space="preserve">Experience of engaging with senior internal and external stakeholders </w:t>
            </w:r>
          </w:p>
          <w:p w14:paraId="5CC05D83" w14:textId="77777777" w:rsidR="00282DEC" w:rsidRPr="00282DEC" w:rsidRDefault="00282DEC" w:rsidP="00282DEC">
            <w:pPr>
              <w:spacing w:before="0" w:after="0" w:line="240" w:lineRule="auto"/>
            </w:pPr>
          </w:p>
          <w:p w14:paraId="3E656213" w14:textId="77777777" w:rsidR="00E00230" w:rsidRPr="00E00230" w:rsidRDefault="00E00230" w:rsidP="00282DEC">
            <w:pPr>
              <w:pStyle w:val="Tableparagraph"/>
              <w:spacing w:before="0" w:after="0"/>
            </w:pPr>
            <w:r w:rsidRPr="00461C58">
              <w:t>Experience of assessing and providing a quality assurance role both for peers’ analysis and that of consultants</w:t>
            </w:r>
            <w:r w:rsidRPr="00E00230">
              <w:t xml:space="preserve"> </w:t>
            </w:r>
          </w:p>
          <w:p w14:paraId="17953E20" w14:textId="77777777" w:rsidR="00E00230" w:rsidRPr="00D32E14" w:rsidRDefault="00E00230" w:rsidP="00E00230">
            <w:pPr>
              <w:pStyle w:val="Tableparagraph"/>
              <w:spacing w:before="0" w:after="0"/>
            </w:pPr>
          </w:p>
        </w:tc>
      </w:tr>
      <w:tr w:rsidR="00177203" w:rsidRPr="00425AD9" w14:paraId="17953E25" w14:textId="77777777" w:rsidTr="00E00230">
        <w:trPr>
          <w:cnfStyle w:val="000000100000" w:firstRow="0" w:lastRow="0" w:firstColumn="0" w:lastColumn="0" w:oddVBand="0" w:evenVBand="0" w:oddHBand="1" w:evenHBand="0" w:firstRowFirstColumn="0" w:firstRowLastColumn="0" w:lastRowFirstColumn="0" w:lastRowLastColumn="0"/>
        </w:trPr>
        <w:tc>
          <w:tcPr>
            <w:tcW w:w="843" w:type="pct"/>
          </w:tcPr>
          <w:p w14:paraId="17953E22" w14:textId="77777777" w:rsidR="00177203" w:rsidRPr="00EE4B8A" w:rsidRDefault="00177203" w:rsidP="00177203">
            <w:pPr>
              <w:pStyle w:val="Tableparagraph"/>
              <w:rPr>
                <w:b/>
              </w:rPr>
            </w:pPr>
            <w:r w:rsidRPr="00EE4B8A">
              <w:rPr>
                <w:b/>
              </w:rPr>
              <w:lastRenderedPageBreak/>
              <w:t>Knowledge</w:t>
            </w:r>
          </w:p>
        </w:tc>
        <w:tc>
          <w:tcPr>
            <w:tcW w:w="1827" w:type="pct"/>
          </w:tcPr>
          <w:p w14:paraId="2F626157" w14:textId="6C3D1787" w:rsidR="009D03BD" w:rsidRDefault="00177203" w:rsidP="009D03BD">
            <w:pPr>
              <w:pStyle w:val="Tableparagraph"/>
              <w:spacing w:before="0" w:after="0"/>
            </w:pPr>
            <w:r w:rsidRPr="00DC390F">
              <w:t>Understanding of investment appraisal techniques</w:t>
            </w:r>
            <w:r w:rsidR="008A053C">
              <w:t>.</w:t>
            </w:r>
          </w:p>
          <w:p w14:paraId="7EBC7679" w14:textId="77777777" w:rsidR="009D03BD" w:rsidRPr="009D03BD" w:rsidRDefault="009D03BD" w:rsidP="009D03BD">
            <w:pPr>
              <w:spacing w:before="0" w:after="0" w:line="240" w:lineRule="auto"/>
            </w:pPr>
          </w:p>
          <w:p w14:paraId="04B6DA84" w14:textId="275965E0" w:rsidR="009D03BD" w:rsidRDefault="009D03BD" w:rsidP="009D03BD">
            <w:pPr>
              <w:pStyle w:val="Tableparagraph"/>
              <w:spacing w:before="0" w:after="0"/>
            </w:pPr>
            <w:r>
              <w:t xml:space="preserve">Understanding of </w:t>
            </w:r>
            <w:r w:rsidRPr="00314171">
              <w:t>the processes and techniques associated with wate</w:t>
            </w:r>
            <w:r>
              <w:t>r resource</w:t>
            </w:r>
            <w:r w:rsidR="00B84F12">
              <w:t>s</w:t>
            </w:r>
            <w:r>
              <w:t xml:space="preserve"> management planning.</w:t>
            </w:r>
          </w:p>
          <w:p w14:paraId="1EB6E213" w14:textId="77777777" w:rsidR="00177203" w:rsidRPr="00DC390F" w:rsidRDefault="00177203" w:rsidP="009D03BD">
            <w:pPr>
              <w:pStyle w:val="Tableparagraph"/>
              <w:spacing w:before="0" w:after="0"/>
            </w:pPr>
            <w:r w:rsidRPr="00DC390F">
              <w:t xml:space="preserve"> </w:t>
            </w:r>
          </w:p>
          <w:p w14:paraId="17953E23" w14:textId="690BC03A" w:rsidR="00177203" w:rsidRPr="00425AD9" w:rsidRDefault="00177203" w:rsidP="009D03BD">
            <w:pPr>
              <w:pStyle w:val="Tableparagraph"/>
              <w:spacing w:before="0" w:after="0"/>
            </w:pPr>
            <w:r>
              <w:t>P</w:t>
            </w:r>
            <w:r w:rsidRPr="00DC390F">
              <w:t xml:space="preserve">ractical knowledge of the water industry in an area such as capital programme delivery, meeting environmental obligations, business planning or water business operation or management </w:t>
            </w:r>
          </w:p>
        </w:tc>
        <w:tc>
          <w:tcPr>
            <w:tcW w:w="2330" w:type="pct"/>
          </w:tcPr>
          <w:p w14:paraId="02DA5C4C" w14:textId="03B0C42B" w:rsidR="00177203" w:rsidRPr="00DC390F" w:rsidRDefault="00177203" w:rsidP="008A053C">
            <w:pPr>
              <w:pStyle w:val="Tableparagraph"/>
              <w:spacing w:before="0" w:after="0"/>
            </w:pPr>
          </w:p>
          <w:p w14:paraId="0E138051" w14:textId="45C8EB29" w:rsidR="00177203" w:rsidRPr="00DC390F" w:rsidRDefault="00177203" w:rsidP="008A053C">
            <w:pPr>
              <w:pStyle w:val="Tableparagraph"/>
              <w:spacing w:before="0" w:after="0"/>
            </w:pPr>
            <w:r w:rsidRPr="00DC390F">
              <w:t xml:space="preserve">Understanding </w:t>
            </w:r>
            <w:r w:rsidR="0028147D" w:rsidRPr="00DC390F">
              <w:t>of water</w:t>
            </w:r>
            <w:r w:rsidRPr="00DC390F">
              <w:t xml:space="preserve"> </w:t>
            </w:r>
            <w:r>
              <w:t>sector</w:t>
            </w:r>
            <w:r w:rsidRPr="00DC390F">
              <w:t xml:space="preserve"> resilience</w:t>
            </w:r>
            <w:r w:rsidR="00B84F12">
              <w:t>.</w:t>
            </w:r>
            <w:r w:rsidRPr="00DC390F">
              <w:t xml:space="preserve"> </w:t>
            </w:r>
          </w:p>
          <w:p w14:paraId="17953E24" w14:textId="1D2E5974" w:rsidR="00177203" w:rsidRPr="00425AD9" w:rsidRDefault="00177203" w:rsidP="008A053C">
            <w:pPr>
              <w:pStyle w:val="Tableparagraph"/>
              <w:spacing w:before="0" w:after="0"/>
            </w:pPr>
            <w:r w:rsidRPr="00DC390F">
              <w:t>Broad understanding of utility regulation and the operation of the water sector</w:t>
            </w:r>
          </w:p>
        </w:tc>
      </w:tr>
    </w:tbl>
    <w:p w14:paraId="3E3468E3" w14:textId="11C6FB94" w:rsidR="0028147D" w:rsidRDefault="0028147D" w:rsidP="0028147D">
      <w:pPr>
        <w:pStyle w:val="Heading2"/>
      </w:pPr>
      <w:r>
        <w:t>Behaviours</w:t>
      </w:r>
    </w:p>
    <w:p w14:paraId="1E18628C" w14:textId="7098B324" w:rsidR="003C6198" w:rsidRDefault="00EA782B" w:rsidP="00EA782B">
      <w:r>
        <w:t>The successful candidate is expected to demonstrate Civil Service Behaviours</w:t>
      </w:r>
      <w:r w:rsidR="002E08A0">
        <w:t xml:space="preserve"> and Strengths during the recruitment process with</w:t>
      </w:r>
      <w:r w:rsidR="00570F3C">
        <w:t>;</w:t>
      </w:r>
      <w:r w:rsidR="002E08A0">
        <w:t xml:space="preserve"> </w:t>
      </w:r>
      <w:r w:rsidR="002E08A0" w:rsidRPr="002E08A0">
        <w:t>communicating and influencing, seeing the big picture</w:t>
      </w:r>
      <w:r w:rsidR="002E08A0">
        <w:t xml:space="preserve"> and</w:t>
      </w:r>
      <w:r w:rsidR="002E08A0" w:rsidRPr="002E08A0">
        <w:t xml:space="preserve"> making effective decisions</w:t>
      </w:r>
      <w:r w:rsidR="002E08A0">
        <w:t xml:space="preserve"> assessed based on cand</w:t>
      </w:r>
      <w:r w:rsidR="003C6198">
        <w:t>idates written applications</w:t>
      </w:r>
      <w:r w:rsidR="00570F3C">
        <w:t xml:space="preserve"> and at interview</w:t>
      </w:r>
      <w:r w:rsidR="003C6198">
        <w:t>. The</w:t>
      </w:r>
      <w:r w:rsidR="002E08A0">
        <w:t xml:space="preserve"> </w:t>
      </w:r>
      <w:r w:rsidR="003C6198" w:rsidRPr="003C6198">
        <w:t>changing and improving and working together</w:t>
      </w:r>
      <w:r w:rsidR="002E08A0">
        <w:t xml:space="preserve"> behaviours will be tested through the interview (and presentation) which may also test strengths.  </w:t>
      </w:r>
    </w:p>
    <w:p w14:paraId="2F2789E1" w14:textId="28895AEB" w:rsidR="00EA782B" w:rsidRDefault="002E08A0" w:rsidP="00EA782B">
      <w:r>
        <w:t xml:space="preserve">Instructions for the presentation will be provided to candidates that successfully reach the interview stage. The written application and presentation </w:t>
      </w:r>
      <w:r w:rsidR="001E79F1">
        <w:t>will be used to</w:t>
      </w:r>
      <w:r>
        <w:t xml:space="preserve"> judge candidates written communication skills. </w:t>
      </w:r>
    </w:p>
    <w:p w14:paraId="7D91CCBA" w14:textId="4A1DC4DA" w:rsidR="00C3298F" w:rsidRDefault="00C3298F" w:rsidP="00EA782B">
      <w:r>
        <w:t xml:space="preserve">A reserve list of candidates for similar roles within Ofwat may be kept for a period of up to 12 months. </w:t>
      </w:r>
    </w:p>
    <w:p w14:paraId="17953E27" w14:textId="77777777" w:rsidR="006F5487" w:rsidRPr="00FF147E" w:rsidRDefault="006F5487" w:rsidP="006F5487">
      <w:pPr>
        <w:pStyle w:val="Heading1"/>
      </w:pPr>
      <w:bookmarkStart w:id="1" w:name="_Toc410735512"/>
      <w:r w:rsidRPr="00F07DD3">
        <w:t>Terms and conditions of employment</w:t>
      </w:r>
      <w:bookmarkEnd w:id="1"/>
      <w:r w:rsidRPr="00F07DD3">
        <w:t xml:space="preserve"> </w:t>
      </w:r>
    </w:p>
    <w:p w14:paraId="17953E28" w14:textId="77777777" w:rsidR="006F5487" w:rsidRPr="00F07DD3" w:rsidRDefault="006F5487" w:rsidP="006F5487">
      <w:pPr>
        <w:pStyle w:val="Heading2"/>
      </w:pPr>
      <w:r w:rsidRPr="00F07DD3">
        <w:t>Contract</w:t>
      </w:r>
    </w:p>
    <w:p w14:paraId="17953E29" w14:textId="3F6B3665" w:rsidR="006F5487" w:rsidRDefault="00514BFC" w:rsidP="006F5487">
      <w:pPr>
        <w:spacing w:line="278" w:lineRule="auto"/>
      </w:pPr>
      <w:r w:rsidRPr="00EF0D6D">
        <w:t>This is a</w:t>
      </w:r>
      <w:r w:rsidR="006F5487" w:rsidRPr="00EF0D6D">
        <w:t xml:space="preserve"> permanent appointment</w:t>
      </w:r>
      <w:r w:rsidR="006F5487" w:rsidRPr="00F5433C">
        <w:t xml:space="preserve">. </w:t>
      </w:r>
    </w:p>
    <w:p w14:paraId="17953E2A" w14:textId="77777777" w:rsidR="006F5487" w:rsidRPr="00F07DD3" w:rsidRDefault="006F5487" w:rsidP="006F5487">
      <w:pPr>
        <w:pStyle w:val="Heading2"/>
      </w:pPr>
      <w:r w:rsidRPr="00F07DD3">
        <w:lastRenderedPageBreak/>
        <w:t>Salary</w:t>
      </w:r>
    </w:p>
    <w:p w14:paraId="17953E2B" w14:textId="6BDBA44F" w:rsidR="001E36EB" w:rsidRPr="001E36EB" w:rsidRDefault="00F56C76" w:rsidP="001E36EB">
      <w:pPr>
        <w:rPr>
          <w:highlight w:val="yellow"/>
        </w:rPr>
      </w:pPr>
      <w:r w:rsidRPr="00523F7F">
        <w:t xml:space="preserve">The salary range for this role </w:t>
      </w:r>
      <w:r w:rsidRPr="00570F3C">
        <w:t xml:space="preserve">is Band </w:t>
      </w:r>
      <w:r w:rsidR="00570F3C" w:rsidRPr="00570F3C">
        <w:t>3</w:t>
      </w:r>
      <w:r w:rsidRPr="00570F3C">
        <w:t xml:space="preserve"> - £</w:t>
      </w:r>
      <w:r w:rsidR="00570F3C" w:rsidRPr="00570F3C">
        <w:t>34,528</w:t>
      </w:r>
      <w:r w:rsidRPr="00570F3C">
        <w:t xml:space="preserve"> - £</w:t>
      </w:r>
      <w:r w:rsidR="00570F3C" w:rsidRPr="00570F3C">
        <w:t>51,627</w:t>
      </w:r>
      <w:r w:rsidRPr="00570F3C">
        <w:t>.</w:t>
      </w:r>
      <w:r w:rsidRPr="00523F7F">
        <w:t xml:space="preserve"> External candidates can expect to achieve a starting salary from the bottom of the band up </w:t>
      </w:r>
      <w:r w:rsidRPr="00570F3C">
        <w:t xml:space="preserve">to </w:t>
      </w:r>
      <w:r w:rsidR="00624BFB" w:rsidRPr="00570F3C">
        <w:t>£</w:t>
      </w:r>
      <w:r w:rsidR="00570F3C" w:rsidRPr="00570F3C">
        <w:t>43,000</w:t>
      </w:r>
      <w:r w:rsidRPr="00570F3C">
        <w:t>,</w:t>
      </w:r>
      <w:r w:rsidRPr="00523F7F">
        <w:t xml:space="preserve"> depending on relevant skills and experience required for the post. Salary is paid monthly by credit transfer.</w:t>
      </w:r>
      <w:r w:rsidRPr="00E17EA9">
        <w:rPr>
          <w:highlight w:val="yellow"/>
        </w:rPr>
        <w:t xml:space="preserve"> </w:t>
      </w:r>
    </w:p>
    <w:p w14:paraId="17953E2C" w14:textId="77777777" w:rsidR="001E36EB" w:rsidRDefault="001E36EB" w:rsidP="001E36EB">
      <w:r w:rsidRPr="00523F7F">
        <w:t xml:space="preserve">Internal and Civil Service candidates already at this job level would </w:t>
      </w:r>
      <w:r>
        <w:t xml:space="preserve">normally </w:t>
      </w:r>
      <w:r w:rsidRPr="00523F7F">
        <w:t xml:space="preserve">maintain their existing salary arrangements as this would be classed as a level transfer. If applying for the role as a promotion, these candidates can </w:t>
      </w:r>
      <w:r>
        <w:t xml:space="preserve">typically </w:t>
      </w:r>
      <w:r w:rsidRPr="00523F7F">
        <w:t>expect to be appointed on a salary at the bottom of the band or a 10% increase to existing salary, whichever is greater.</w:t>
      </w:r>
    </w:p>
    <w:p w14:paraId="17953E2D" w14:textId="77777777" w:rsidR="006F5487" w:rsidRPr="00F07DD3" w:rsidRDefault="006F5487" w:rsidP="006F5487">
      <w:pPr>
        <w:pStyle w:val="Heading2"/>
      </w:pPr>
      <w:r w:rsidRPr="00F07DD3">
        <w:t xml:space="preserve">Location </w:t>
      </w:r>
    </w:p>
    <w:p w14:paraId="1DE8F2BE" w14:textId="77777777" w:rsidR="004161F2" w:rsidRDefault="006F5487" w:rsidP="004161F2">
      <w:pPr>
        <w:spacing w:after="0" w:line="278" w:lineRule="auto"/>
      </w:pPr>
      <w:r w:rsidRPr="00470FB1">
        <w:t xml:space="preserve">The </w:t>
      </w:r>
      <w:r>
        <w:t>role will be based in either Birmingham or London. However, it is likely that travel between offices and throughout the UK</w:t>
      </w:r>
      <w:r w:rsidR="004161F2">
        <w:t xml:space="preserve"> will be needed to be effective and during the current Covid-19 pandemic home working is to be expected. </w:t>
      </w:r>
    </w:p>
    <w:p w14:paraId="17953E2F" w14:textId="77777777" w:rsidR="006F5487" w:rsidRPr="00F07DD3" w:rsidRDefault="006F5487" w:rsidP="006F5487">
      <w:pPr>
        <w:pStyle w:val="Heading2"/>
      </w:pPr>
      <w:r w:rsidRPr="00F07DD3">
        <w:t xml:space="preserve">Contracted place of work and taxable expenses </w:t>
      </w:r>
    </w:p>
    <w:p w14:paraId="17953E30" w14:textId="77777777" w:rsidR="006F5487" w:rsidRDefault="006F5487" w:rsidP="006F5487">
      <w:pPr>
        <w:spacing w:after="0" w:line="278" w:lineRule="auto"/>
      </w:pPr>
      <w:r>
        <w:t xml:space="preserve">Any person who regularly works more than </w:t>
      </w:r>
      <w:r w:rsidR="00734747">
        <w:t>t</w:t>
      </w:r>
      <w:r w:rsidR="00BC344F">
        <w:t>wo</w:t>
      </w:r>
      <w:r>
        <w:t xml:space="preserve"> days a month in both the Birmingham and London offices, irrespective of their contracted place of work, is considered by HMRC to have </w:t>
      </w:r>
      <w:r w:rsidRPr="0053032D">
        <w:rPr>
          <w:rStyle w:val="Strong"/>
          <w:rFonts w:asciiTheme="minorHAnsi" w:eastAsiaTheme="majorEastAsia" w:hAnsiTheme="minorHAnsi" w:cstheme="minorHAnsi"/>
        </w:rPr>
        <w:t>two permanent workplaces</w:t>
      </w:r>
      <w:r w:rsidRPr="0053032D">
        <w:rPr>
          <w:rFonts w:asciiTheme="minorHAnsi" w:hAnsiTheme="minorHAnsi" w:cstheme="minorHAnsi"/>
        </w:rPr>
        <w:t>.</w:t>
      </w:r>
      <w:r>
        <w:rPr>
          <w:rFonts w:asciiTheme="minorHAnsi" w:hAnsiTheme="minorHAnsi" w:cstheme="minorHAnsi"/>
        </w:rPr>
        <w:t xml:space="preserve"> </w:t>
      </w:r>
    </w:p>
    <w:p w14:paraId="17953E31" w14:textId="77777777" w:rsidR="006F5487" w:rsidRPr="0053399F" w:rsidRDefault="006F5487" w:rsidP="006F5487">
      <w:pPr>
        <w:spacing w:after="0" w:line="278" w:lineRule="auto"/>
        <w:rPr>
          <w:noProof/>
        </w:rPr>
      </w:pPr>
      <w:r w:rsidRPr="0053399F">
        <w:rPr>
          <w:noProof/>
        </w:rPr>
        <w:t xml:space="preserve">The payment of your rail fare, accommodation or subsistence in this situation attracts tax and </w:t>
      </w:r>
      <w:r>
        <w:rPr>
          <w:noProof/>
        </w:rPr>
        <w:t>N</w:t>
      </w:r>
      <w:r w:rsidRPr="0053399F">
        <w:rPr>
          <w:noProof/>
        </w:rPr>
        <w:t xml:space="preserve">ational </w:t>
      </w:r>
      <w:r>
        <w:rPr>
          <w:noProof/>
        </w:rPr>
        <w:t>I</w:t>
      </w:r>
      <w:r w:rsidRPr="0053399F">
        <w:rPr>
          <w:noProof/>
        </w:rPr>
        <w:t>nsurance because you are receiving a benefit.</w:t>
      </w:r>
    </w:p>
    <w:p w14:paraId="17953E32" w14:textId="77777777" w:rsidR="006F5487" w:rsidRDefault="006F5487" w:rsidP="006F5487">
      <w:pPr>
        <w:spacing w:after="0" w:line="278" w:lineRule="auto"/>
        <w:rPr>
          <w:noProof/>
        </w:rPr>
      </w:pPr>
      <w:r w:rsidRPr="0053399F">
        <w:rPr>
          <w:noProof/>
        </w:rPr>
        <w:t xml:space="preserve">Ofwat meets the cost of the tax and </w:t>
      </w:r>
      <w:r>
        <w:rPr>
          <w:noProof/>
        </w:rPr>
        <w:t>N</w:t>
      </w:r>
      <w:r w:rsidRPr="0053399F">
        <w:rPr>
          <w:noProof/>
        </w:rPr>
        <w:t xml:space="preserve">ational </w:t>
      </w:r>
      <w:r>
        <w:rPr>
          <w:noProof/>
        </w:rPr>
        <w:t>I</w:t>
      </w:r>
      <w:r w:rsidRPr="0053399F">
        <w:rPr>
          <w:noProof/>
        </w:rPr>
        <w:t>nsurance by grossing up your expenses and recovering the net amount through your monthly pay package.</w:t>
      </w:r>
      <w:r>
        <w:rPr>
          <w:noProof/>
        </w:rPr>
        <w:t xml:space="preserve"> But</w:t>
      </w:r>
      <w:r w:rsidRPr="0053399F">
        <w:rPr>
          <w:noProof/>
        </w:rPr>
        <w:t xml:space="preserve"> the expenses are classed as taxable earnings</w:t>
      </w:r>
      <w:r>
        <w:rPr>
          <w:noProof/>
        </w:rPr>
        <w:t>,</w:t>
      </w:r>
      <w:r w:rsidRPr="0053399F">
        <w:rPr>
          <w:noProof/>
        </w:rPr>
        <w:t xml:space="preserve"> which could impact on any attachment of earnings </w:t>
      </w:r>
      <w:r>
        <w:rPr>
          <w:noProof/>
        </w:rPr>
        <w:t>– for example,</w:t>
      </w:r>
      <w:r w:rsidRPr="0053399F">
        <w:rPr>
          <w:noProof/>
        </w:rPr>
        <w:t xml:space="preserve"> student loan repayments, high income child benefit and state benefits.</w:t>
      </w:r>
    </w:p>
    <w:p w14:paraId="17953E33" w14:textId="77777777" w:rsidR="00380085" w:rsidRPr="0053399F" w:rsidRDefault="00380085" w:rsidP="006F5487">
      <w:pPr>
        <w:spacing w:after="0" w:line="278" w:lineRule="auto"/>
        <w:rPr>
          <w:noProof/>
          <w:lang w:eastAsia="en-US"/>
        </w:rPr>
      </w:pPr>
      <w:r>
        <w:rPr>
          <w:noProof/>
        </w:rPr>
        <w:t xml:space="preserve">This means that you will not be required to meet the costs of travel to the office location where you are not based. </w:t>
      </w:r>
    </w:p>
    <w:p w14:paraId="17953E34" w14:textId="77777777" w:rsidR="006F5487" w:rsidRDefault="006F5487" w:rsidP="006F5487">
      <w:pPr>
        <w:spacing w:after="0" w:line="278" w:lineRule="auto"/>
        <w:rPr>
          <w:rFonts w:ascii="Arial Rounded MT Bold" w:hAnsi="Arial Rounded MT Bold"/>
          <w:color w:val="002060"/>
          <w:sz w:val="28"/>
          <w:szCs w:val="28"/>
          <w:lang w:eastAsia="en-US"/>
        </w:rPr>
      </w:pPr>
      <w:r>
        <w:t xml:space="preserve">For further information on taxable expenses, please email </w:t>
      </w:r>
      <w:hyperlink r:id="rId18" w:history="1">
        <w:r w:rsidR="00117CA3" w:rsidRPr="00E87939">
          <w:rPr>
            <w:rStyle w:val="Hyperlink"/>
          </w:rPr>
          <w:t>payroll@ofwat.gov.uk</w:t>
        </w:r>
      </w:hyperlink>
      <w:r>
        <w:rPr>
          <w:rStyle w:val="Hyperlink"/>
          <w:color w:val="000000"/>
        </w:rPr>
        <w:t>.</w:t>
      </w:r>
    </w:p>
    <w:p w14:paraId="17953E35" w14:textId="77777777" w:rsidR="006F5487" w:rsidRPr="00575A53" w:rsidRDefault="006F5487" w:rsidP="006F5487">
      <w:pPr>
        <w:pStyle w:val="Heading2"/>
      </w:pPr>
      <w:r w:rsidRPr="00FF147E">
        <w:lastRenderedPageBreak/>
        <w:t>Hours of work</w:t>
      </w:r>
    </w:p>
    <w:p w14:paraId="17953E36" w14:textId="77777777" w:rsidR="006F5487" w:rsidRPr="0077260B" w:rsidRDefault="006F5487" w:rsidP="006F5487">
      <w:pPr>
        <w:spacing w:line="278" w:lineRule="auto"/>
      </w:pPr>
      <w:r w:rsidRPr="00F5433C">
        <w:t>The successful post holder will be required to work a minimum of 37 hours</w:t>
      </w:r>
      <w:r>
        <w:t>,</w:t>
      </w:r>
      <w:r w:rsidRPr="00F5433C">
        <w:t xml:space="preserve"> excluding lunch breaks. </w:t>
      </w:r>
      <w:r>
        <w:t>You</w:t>
      </w:r>
      <w:r w:rsidRPr="00F5433C">
        <w:t xml:space="preserve"> will be required to work such additional hours as </w:t>
      </w:r>
      <w:r>
        <w:t xml:space="preserve">is </w:t>
      </w:r>
      <w:r w:rsidRPr="00F5433C">
        <w:t>reasonable and necessary for the efficient performance of your duties.</w:t>
      </w:r>
    </w:p>
    <w:p w14:paraId="17953E37" w14:textId="77777777" w:rsidR="006F5487" w:rsidRPr="0083522C" w:rsidRDefault="006F5487" w:rsidP="006F5487">
      <w:pPr>
        <w:pStyle w:val="Heading2"/>
      </w:pPr>
      <w:r w:rsidRPr="0083522C">
        <w:t>Probation</w:t>
      </w:r>
    </w:p>
    <w:p w14:paraId="17953E38" w14:textId="77777777" w:rsidR="006F5487" w:rsidRDefault="006F5487" w:rsidP="006F5487">
      <w:pPr>
        <w:spacing w:line="278" w:lineRule="auto"/>
      </w:pPr>
      <w:r w:rsidRPr="00F5433C">
        <w:t>There is a probationary period of six months for all new entrants.</w:t>
      </w:r>
      <w:r>
        <w:t xml:space="preserve"> </w:t>
      </w:r>
      <w:r w:rsidRPr="00F5433C">
        <w:t>Subject to satisfactory performance</w:t>
      </w:r>
      <w:r>
        <w:t>,</w:t>
      </w:r>
      <w:r w:rsidRPr="00F5433C">
        <w:t xml:space="preserve"> the post holder will be transferred to permanent establishment</w:t>
      </w:r>
      <w:r>
        <w:t xml:space="preserve"> at the end of their probation.</w:t>
      </w:r>
    </w:p>
    <w:p w14:paraId="17953E39" w14:textId="77777777" w:rsidR="006F5487" w:rsidRPr="0083522C" w:rsidRDefault="006F5487" w:rsidP="006F5487">
      <w:pPr>
        <w:pStyle w:val="Heading2"/>
      </w:pPr>
      <w:r w:rsidRPr="0083522C">
        <w:t>Annual leave</w:t>
      </w:r>
    </w:p>
    <w:p w14:paraId="17953E3A" w14:textId="77777777" w:rsidR="006F5487" w:rsidRDefault="006F5487" w:rsidP="006F5487">
      <w:pPr>
        <w:spacing w:after="0" w:line="278" w:lineRule="auto"/>
      </w:pPr>
      <w:r w:rsidRPr="00F5433C">
        <w:t>On appointment the post holder will be entitled to 25 days annual leave plus 10½ days</w:t>
      </w:r>
      <w:r>
        <w:t>’</w:t>
      </w:r>
      <w:r w:rsidRPr="00F5433C">
        <w:t xml:space="preserve"> public and privilege holidays </w:t>
      </w:r>
      <w:r>
        <w:t>a</w:t>
      </w:r>
      <w:r w:rsidRPr="00F5433C">
        <w:t xml:space="preserve"> year. </w:t>
      </w:r>
      <w:r w:rsidRPr="003B716C">
        <w:t>Annual leave entitlement will be increased by one day for each year of continuous employment with Ofwat, up to a maximum leave allowance of 30 days.</w:t>
      </w:r>
    </w:p>
    <w:p w14:paraId="17953E3B" w14:textId="77777777" w:rsidR="006F5487" w:rsidRPr="0083522C" w:rsidRDefault="006F5487" w:rsidP="006F5487">
      <w:pPr>
        <w:pStyle w:val="Heading2"/>
      </w:pPr>
      <w:r w:rsidRPr="0083522C">
        <w:t>Pension</w:t>
      </w:r>
    </w:p>
    <w:p w14:paraId="17953E3C" w14:textId="77777777" w:rsidR="0057022F" w:rsidRPr="0053032D" w:rsidRDefault="0057022F" w:rsidP="0057022F">
      <w:pPr>
        <w:spacing w:line="276" w:lineRule="auto"/>
        <w:rPr>
          <w:rFonts w:asciiTheme="minorHAnsi" w:hAnsiTheme="minorHAnsi" w:cstheme="minorHAnsi"/>
        </w:rPr>
      </w:pPr>
      <w:r w:rsidRPr="0053032D">
        <w:rPr>
          <w:rFonts w:asciiTheme="minorHAnsi" w:hAnsiTheme="minorHAnsi" w:cstheme="minorHAnsi"/>
        </w:rPr>
        <w:t>On appointment, you are eligible to join the Civil Service Pension. The Civil Service offers a choice of defined benefit and stakeholder pensions, giving you the flexibility to choose the pension that suits you best. We offer you a choice of two types of pension.</w:t>
      </w:r>
    </w:p>
    <w:p w14:paraId="17953E3D" w14:textId="77777777" w:rsidR="0057022F" w:rsidRPr="0053032D" w:rsidRDefault="0057022F" w:rsidP="0057022F">
      <w:pPr>
        <w:rPr>
          <w:rFonts w:asciiTheme="minorHAnsi" w:hAnsiTheme="minorHAnsi" w:cstheme="minorHAnsi"/>
        </w:rPr>
      </w:pPr>
      <w:r w:rsidRPr="0057022F">
        <w:rPr>
          <w:rStyle w:val="Strong"/>
          <w:rFonts w:asciiTheme="minorHAnsi" w:eastAsiaTheme="majorEastAsia" w:hAnsiTheme="minorHAnsi" w:cstheme="minorHAnsi"/>
          <w:b/>
          <w:color w:val="auto"/>
        </w:rPr>
        <w:t>Alpha</w:t>
      </w:r>
      <w:r w:rsidRPr="0057022F">
        <w:rPr>
          <w:rFonts w:asciiTheme="minorHAnsi" w:hAnsiTheme="minorHAnsi" w:cstheme="minorHAnsi"/>
          <w:b/>
        </w:rPr>
        <w:t>:</w:t>
      </w:r>
      <w:r w:rsidRPr="0053032D">
        <w:rPr>
          <w:rFonts w:asciiTheme="minorHAnsi" w:hAnsiTheme="minorHAnsi" w:cstheme="minorHAnsi"/>
        </w:rPr>
        <w:t xml:space="preserve"> alpha is an occupational pension scheme and provides a defined benefit worked out on a Career Average basis. </w:t>
      </w:r>
    </w:p>
    <w:p w14:paraId="17953E3E" w14:textId="167E30A9" w:rsidR="00CE17EB" w:rsidRDefault="00F931E6" w:rsidP="00CE17EB">
      <w:pPr>
        <w:rPr>
          <w:rFonts w:cs="Arial"/>
        </w:rPr>
      </w:pPr>
      <w:r>
        <w:t>From 1 April 2020</w:t>
      </w:r>
      <w:r w:rsidR="00790F86">
        <w:t>, member contributions are</w:t>
      </w:r>
      <w:r w:rsidR="00CE17EB">
        <w:t xml:space="preserve"> based on actual salaries. </w:t>
      </w:r>
    </w:p>
    <w:p w14:paraId="17953E3F" w14:textId="5E5DB999" w:rsidR="00AD0EF3" w:rsidRPr="0057022F" w:rsidRDefault="00F931E6" w:rsidP="00AD0EF3">
      <w:r>
        <w:rPr>
          <w:rStyle w:val="Strong"/>
          <w:rFonts w:asciiTheme="minorHAnsi" w:eastAsiaTheme="majorEastAsia" w:hAnsiTheme="minorHAnsi" w:cstheme="minorHAnsi"/>
          <w:color w:val="auto"/>
        </w:rPr>
        <w:t>From 1 April 2020</w:t>
      </w:r>
      <w:r w:rsidR="00790F86">
        <w:rPr>
          <w:rStyle w:val="Strong"/>
          <w:rFonts w:asciiTheme="minorHAnsi" w:eastAsiaTheme="majorEastAsia" w:hAnsiTheme="minorHAnsi" w:cstheme="minorHAnsi"/>
          <w:color w:val="auto"/>
        </w:rPr>
        <w:t>, employee contributions are</w:t>
      </w:r>
      <w:r w:rsidR="00AD0EF3" w:rsidRPr="0057022F">
        <w:rPr>
          <w:rStyle w:val="Strong"/>
          <w:rFonts w:asciiTheme="minorHAnsi" w:eastAsiaTheme="majorEastAsia" w:hAnsiTheme="minorHAnsi" w:cstheme="minorHAnsi"/>
          <w:color w:val="auto"/>
        </w:rPr>
        <w:t>:</w:t>
      </w:r>
    </w:p>
    <w:tbl>
      <w:tblPr>
        <w:tblW w:w="3332" w:type="pct"/>
        <w:shd w:val="clear" w:color="auto" w:fill="FFFFFF"/>
        <w:tblCellMar>
          <w:left w:w="0" w:type="dxa"/>
          <w:right w:w="0" w:type="dxa"/>
        </w:tblCellMar>
        <w:tblLook w:val="04A0" w:firstRow="1" w:lastRow="0" w:firstColumn="1" w:lastColumn="0" w:noHBand="0" w:noVBand="1"/>
      </w:tblPr>
      <w:tblGrid>
        <w:gridCol w:w="2997"/>
        <w:gridCol w:w="3005"/>
      </w:tblGrid>
      <w:tr w:rsidR="00AD0EF3" w14:paraId="17953E42" w14:textId="77777777" w:rsidTr="00D95291">
        <w:trPr>
          <w:trHeight w:val="20"/>
        </w:trPr>
        <w:tc>
          <w:tcPr>
            <w:tcW w:w="2497" w:type="pct"/>
            <w:tcBorders>
              <w:top w:val="single" w:sz="8" w:space="0" w:color="857362"/>
              <w:left w:val="single" w:sz="8" w:space="0" w:color="857362"/>
              <w:bottom w:val="single" w:sz="8" w:space="0" w:color="857362"/>
              <w:right w:val="single" w:sz="8" w:space="0" w:color="857362"/>
            </w:tcBorders>
            <w:shd w:val="clear" w:color="auto" w:fill="E0DCD8"/>
            <w:tcMar>
              <w:top w:w="0" w:type="dxa"/>
              <w:left w:w="108" w:type="dxa"/>
              <w:bottom w:w="0" w:type="dxa"/>
              <w:right w:w="108" w:type="dxa"/>
            </w:tcMar>
            <w:hideMark/>
          </w:tcPr>
          <w:p w14:paraId="17953E40" w14:textId="77777777" w:rsidR="00AD0EF3" w:rsidRDefault="00AD0EF3" w:rsidP="00D95291">
            <w:pPr>
              <w:pStyle w:val="Tabledescriptorcell1"/>
              <w:rPr>
                <w:szCs w:val="24"/>
                <w:lang w:eastAsia="en-US"/>
              </w:rPr>
            </w:pPr>
            <w:r>
              <w:t xml:space="preserve">Actual pensionable salary (annual) </w:t>
            </w:r>
          </w:p>
        </w:tc>
        <w:tc>
          <w:tcPr>
            <w:tcW w:w="2503" w:type="pct"/>
            <w:tcBorders>
              <w:top w:val="single" w:sz="8" w:space="0" w:color="857362"/>
              <w:left w:val="nil"/>
              <w:bottom w:val="single" w:sz="8" w:space="0" w:color="857362"/>
              <w:right w:val="single" w:sz="8" w:space="0" w:color="857362"/>
            </w:tcBorders>
            <w:shd w:val="clear" w:color="auto" w:fill="E0DCD8"/>
            <w:tcMar>
              <w:top w:w="0" w:type="dxa"/>
              <w:left w:w="108" w:type="dxa"/>
              <w:bottom w:w="0" w:type="dxa"/>
              <w:right w:w="108" w:type="dxa"/>
            </w:tcMar>
            <w:hideMark/>
          </w:tcPr>
          <w:p w14:paraId="17953E41" w14:textId="77777777" w:rsidR="00AD0EF3" w:rsidRDefault="00AD0EF3" w:rsidP="00D95291">
            <w:pPr>
              <w:pStyle w:val="Tabledescriptorcells"/>
              <w:rPr>
                <w:sz w:val="20"/>
                <w:lang w:eastAsia="en-US"/>
              </w:rPr>
            </w:pPr>
            <w:r>
              <w:rPr>
                <w:lang w:eastAsia="en-US"/>
              </w:rPr>
              <w:t xml:space="preserve">All members </w:t>
            </w:r>
          </w:p>
        </w:tc>
      </w:tr>
      <w:tr w:rsidR="00AD0EF3" w14:paraId="17953E45"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hideMark/>
          </w:tcPr>
          <w:p w14:paraId="17953E43" w14:textId="19D2BA6E" w:rsidR="00AD0EF3" w:rsidRDefault="00F931E6" w:rsidP="00D95291">
            <w:pPr>
              <w:pStyle w:val="Tableparagraph"/>
            </w:pPr>
            <w:r>
              <w:t>Up to and including £22,600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hideMark/>
          </w:tcPr>
          <w:p w14:paraId="17953E44" w14:textId="77777777" w:rsidR="00AD0EF3" w:rsidRDefault="00AD0EF3" w:rsidP="00D95291">
            <w:pPr>
              <w:pStyle w:val="Tableparagraph"/>
              <w:jc w:val="center"/>
            </w:pPr>
            <w:r>
              <w:t>4.60%</w:t>
            </w:r>
          </w:p>
        </w:tc>
      </w:tr>
      <w:tr w:rsidR="00AD0EF3" w14:paraId="17953E48"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hideMark/>
          </w:tcPr>
          <w:p w14:paraId="17953E46" w14:textId="767B3A8D" w:rsidR="00AD0EF3" w:rsidRDefault="00F931E6" w:rsidP="00D95291">
            <w:pPr>
              <w:pStyle w:val="Tableparagraph"/>
            </w:pPr>
            <w:r>
              <w:t>£22,601 to £54,900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hideMark/>
          </w:tcPr>
          <w:p w14:paraId="17953E47" w14:textId="77777777" w:rsidR="00AD0EF3" w:rsidRDefault="00AD0EF3" w:rsidP="00D95291">
            <w:pPr>
              <w:pStyle w:val="Tableparagraph"/>
              <w:jc w:val="center"/>
            </w:pPr>
            <w:r>
              <w:t>5.45%</w:t>
            </w:r>
          </w:p>
        </w:tc>
      </w:tr>
      <w:tr w:rsidR="00AD0EF3" w14:paraId="17953E4B"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hideMark/>
          </w:tcPr>
          <w:p w14:paraId="17953E49" w14:textId="6F65B276" w:rsidR="00AD0EF3" w:rsidRDefault="00F931E6" w:rsidP="00D95291">
            <w:pPr>
              <w:pStyle w:val="Tableparagraph"/>
            </w:pPr>
            <w:r>
              <w:t>£54,901</w:t>
            </w:r>
            <w:r w:rsidR="00C242E8">
              <w:t xml:space="preserve"> to £150,</w:t>
            </w:r>
            <w:r w:rsidR="00AD0EF3">
              <w:t>000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hideMark/>
          </w:tcPr>
          <w:p w14:paraId="17953E4A" w14:textId="77777777" w:rsidR="00AD0EF3" w:rsidRDefault="00AD0EF3" w:rsidP="00D95291">
            <w:pPr>
              <w:pStyle w:val="Tableparagraph"/>
              <w:jc w:val="center"/>
            </w:pPr>
            <w:r>
              <w:t>7.35%</w:t>
            </w:r>
          </w:p>
        </w:tc>
      </w:tr>
      <w:tr w:rsidR="00AD0EF3" w14:paraId="17953E4E"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hideMark/>
          </w:tcPr>
          <w:p w14:paraId="17953E4C" w14:textId="77777777" w:rsidR="00AD0EF3" w:rsidRDefault="00AD0EF3" w:rsidP="00D95291">
            <w:pPr>
              <w:pStyle w:val="Tableparagraph"/>
            </w:pPr>
            <w:r>
              <w:lastRenderedPageBreak/>
              <w:t xml:space="preserve">£150,001 and above </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hideMark/>
          </w:tcPr>
          <w:p w14:paraId="17953E4D" w14:textId="77777777" w:rsidR="00AD0EF3" w:rsidRDefault="00AD0EF3" w:rsidP="00D95291">
            <w:pPr>
              <w:pStyle w:val="Tableparagraph"/>
              <w:jc w:val="center"/>
            </w:pPr>
            <w:r>
              <w:t>8.05%</w:t>
            </w:r>
          </w:p>
        </w:tc>
      </w:tr>
    </w:tbl>
    <w:p w14:paraId="17953E4F" w14:textId="44B15E46" w:rsidR="00AD0EF3" w:rsidRDefault="00F931E6" w:rsidP="00AD0EF3">
      <w:pPr>
        <w:rPr>
          <w:rStyle w:val="Strong"/>
          <w:rFonts w:asciiTheme="minorHAnsi" w:eastAsiaTheme="majorEastAsia" w:hAnsiTheme="minorHAnsi" w:cstheme="minorHAnsi"/>
          <w:color w:val="auto"/>
        </w:rPr>
      </w:pPr>
      <w:r>
        <w:rPr>
          <w:rStyle w:val="Strong"/>
          <w:rFonts w:asciiTheme="minorHAnsi" w:eastAsiaTheme="majorEastAsia" w:hAnsiTheme="minorHAnsi" w:cstheme="minorHAnsi"/>
          <w:color w:val="auto"/>
        </w:rPr>
        <w:t>From 1 April 2020</w:t>
      </w:r>
      <w:r w:rsidR="00AD0EF3" w:rsidRPr="0057022F">
        <w:rPr>
          <w:rStyle w:val="Strong"/>
          <w:rFonts w:asciiTheme="minorHAnsi" w:eastAsiaTheme="majorEastAsia" w:hAnsiTheme="minorHAnsi" w:cstheme="minorHAnsi"/>
          <w:color w:val="auto"/>
        </w:rPr>
        <w:t>,</w:t>
      </w:r>
      <w:r w:rsidR="00A82724">
        <w:rPr>
          <w:rStyle w:val="Strong"/>
          <w:rFonts w:asciiTheme="minorHAnsi" w:eastAsiaTheme="majorEastAsia" w:hAnsiTheme="minorHAnsi" w:cstheme="minorHAnsi"/>
          <w:color w:val="auto"/>
        </w:rPr>
        <w:t xml:space="preserve"> </w:t>
      </w:r>
      <w:r w:rsidR="00790F86">
        <w:rPr>
          <w:rStyle w:val="Strong"/>
          <w:rFonts w:asciiTheme="minorHAnsi" w:eastAsiaTheme="majorEastAsia" w:hAnsiTheme="minorHAnsi" w:cstheme="minorHAnsi"/>
          <w:color w:val="auto"/>
        </w:rPr>
        <w:t>employer contributions are</w:t>
      </w:r>
      <w:r w:rsidR="00AD0EF3" w:rsidRPr="0057022F">
        <w:rPr>
          <w:rStyle w:val="Strong"/>
          <w:rFonts w:asciiTheme="minorHAnsi" w:eastAsiaTheme="majorEastAsia" w:hAnsiTheme="minorHAnsi" w:cstheme="minorHAnsi"/>
          <w:color w:val="auto"/>
        </w:rPr>
        <w:t>:</w:t>
      </w:r>
    </w:p>
    <w:tbl>
      <w:tblPr>
        <w:tblW w:w="3332" w:type="pct"/>
        <w:shd w:val="clear" w:color="auto" w:fill="FFFFFF"/>
        <w:tblCellMar>
          <w:left w:w="0" w:type="dxa"/>
          <w:right w:w="0" w:type="dxa"/>
        </w:tblCellMar>
        <w:tblLook w:val="04A0" w:firstRow="1" w:lastRow="0" w:firstColumn="1" w:lastColumn="0" w:noHBand="0" w:noVBand="1"/>
      </w:tblPr>
      <w:tblGrid>
        <w:gridCol w:w="2997"/>
        <w:gridCol w:w="3005"/>
      </w:tblGrid>
      <w:tr w:rsidR="00AD0EF3" w14:paraId="17953E52" w14:textId="77777777" w:rsidTr="00D95291">
        <w:trPr>
          <w:trHeight w:val="20"/>
        </w:trPr>
        <w:tc>
          <w:tcPr>
            <w:tcW w:w="2497" w:type="pct"/>
            <w:tcBorders>
              <w:top w:val="single" w:sz="8" w:space="0" w:color="857362"/>
              <w:left w:val="single" w:sz="8" w:space="0" w:color="857362"/>
              <w:bottom w:val="single" w:sz="8" w:space="0" w:color="857362"/>
              <w:right w:val="single" w:sz="8" w:space="0" w:color="857362"/>
            </w:tcBorders>
            <w:shd w:val="clear" w:color="auto" w:fill="E0DCD8"/>
            <w:tcMar>
              <w:top w:w="0" w:type="dxa"/>
              <w:left w:w="108" w:type="dxa"/>
              <w:bottom w:w="0" w:type="dxa"/>
              <w:right w:w="108" w:type="dxa"/>
            </w:tcMar>
          </w:tcPr>
          <w:p w14:paraId="17953E50" w14:textId="77777777" w:rsidR="00AD0EF3" w:rsidRDefault="00AD0EF3" w:rsidP="00D95291">
            <w:pPr>
              <w:pStyle w:val="Tabledescriptorcell1"/>
              <w:rPr>
                <w:szCs w:val="24"/>
                <w:lang w:eastAsia="en-US"/>
              </w:rPr>
            </w:pPr>
            <w:r>
              <w:rPr>
                <w:szCs w:val="24"/>
                <w:lang w:eastAsia="en-US"/>
              </w:rPr>
              <w:t>Revised Salary Band (£)</w:t>
            </w:r>
          </w:p>
        </w:tc>
        <w:tc>
          <w:tcPr>
            <w:tcW w:w="2503" w:type="pct"/>
            <w:tcBorders>
              <w:top w:val="single" w:sz="8" w:space="0" w:color="857362"/>
              <w:left w:val="nil"/>
              <w:bottom w:val="single" w:sz="8" w:space="0" w:color="857362"/>
              <w:right w:val="single" w:sz="8" w:space="0" w:color="857362"/>
            </w:tcBorders>
            <w:shd w:val="clear" w:color="auto" w:fill="E0DCD8"/>
            <w:tcMar>
              <w:top w:w="0" w:type="dxa"/>
              <w:left w:w="108" w:type="dxa"/>
              <w:bottom w:w="0" w:type="dxa"/>
              <w:right w:w="108" w:type="dxa"/>
            </w:tcMar>
          </w:tcPr>
          <w:p w14:paraId="17953E51" w14:textId="00410261" w:rsidR="00AD0EF3" w:rsidRDefault="009D0918" w:rsidP="00D95291">
            <w:pPr>
              <w:pStyle w:val="Tabledescriptorcells"/>
              <w:rPr>
                <w:sz w:val="20"/>
                <w:lang w:eastAsia="en-US"/>
              </w:rPr>
            </w:pPr>
            <w:r>
              <w:rPr>
                <w:sz w:val="20"/>
                <w:lang w:eastAsia="en-US"/>
              </w:rPr>
              <w:t>ASLC rate from 1 April 2020</w:t>
            </w:r>
          </w:p>
        </w:tc>
      </w:tr>
      <w:tr w:rsidR="00AD0EF3" w14:paraId="17953E55"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53" w14:textId="77777777" w:rsidR="00AD0EF3" w:rsidRDefault="00AD0EF3" w:rsidP="00D95291">
            <w:pPr>
              <w:pStyle w:val="Tableparagraph"/>
            </w:pPr>
            <w:r>
              <w:t>23,000 and under</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54" w14:textId="77777777" w:rsidR="00AD0EF3" w:rsidRDefault="000B3D56" w:rsidP="00D95291">
            <w:pPr>
              <w:pStyle w:val="Tableparagraph"/>
              <w:jc w:val="center"/>
            </w:pPr>
            <w:r>
              <w:t>26.6</w:t>
            </w:r>
            <w:r w:rsidR="00AD0EF3">
              <w:t>%</w:t>
            </w:r>
          </w:p>
        </w:tc>
      </w:tr>
      <w:tr w:rsidR="00AD0EF3" w14:paraId="17953E58"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56" w14:textId="77777777" w:rsidR="00AD0EF3" w:rsidRDefault="00AD0EF3" w:rsidP="00D95291">
            <w:pPr>
              <w:pStyle w:val="Tableparagraph"/>
            </w:pPr>
            <w:r>
              <w:t>23,001 to 45,500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57" w14:textId="77777777" w:rsidR="00AD0EF3" w:rsidRDefault="000B3D56" w:rsidP="00D95291">
            <w:pPr>
              <w:pStyle w:val="Tableparagraph"/>
              <w:jc w:val="center"/>
            </w:pPr>
            <w:r>
              <w:t>27.1</w:t>
            </w:r>
            <w:r w:rsidR="00AD0EF3">
              <w:t>%</w:t>
            </w:r>
          </w:p>
        </w:tc>
      </w:tr>
      <w:tr w:rsidR="00AD0EF3" w14:paraId="17953E5B"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59" w14:textId="77777777" w:rsidR="00AD0EF3" w:rsidRDefault="00A36EF7" w:rsidP="00D95291">
            <w:pPr>
              <w:pStyle w:val="Tableparagraph"/>
            </w:pPr>
            <w:r>
              <w:t>45,501 to 77</w:t>
            </w:r>
            <w:r w:rsidR="00AD0EF3">
              <w:t>,000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5A" w14:textId="77777777" w:rsidR="00AD0EF3" w:rsidRDefault="000B3D56" w:rsidP="00D95291">
            <w:pPr>
              <w:pStyle w:val="Tableparagraph"/>
              <w:jc w:val="center"/>
            </w:pPr>
            <w:r>
              <w:t>27.9</w:t>
            </w:r>
            <w:r w:rsidR="00AD0EF3">
              <w:t>%</w:t>
            </w:r>
          </w:p>
        </w:tc>
      </w:tr>
      <w:tr w:rsidR="00AD0EF3" w14:paraId="17953E5E" w14:textId="77777777" w:rsidTr="00D95291">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5C" w14:textId="77777777" w:rsidR="00AD0EF3" w:rsidRDefault="00A36EF7" w:rsidP="00D95291">
            <w:pPr>
              <w:pStyle w:val="Tableparagraph"/>
            </w:pPr>
            <w:r>
              <w:t>77</w:t>
            </w:r>
            <w:r w:rsidR="00AD0EF3">
              <w:t>,001 and over</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5D" w14:textId="77777777" w:rsidR="00AD0EF3" w:rsidRDefault="000B3D56" w:rsidP="00D95291">
            <w:pPr>
              <w:pStyle w:val="Tableparagraph"/>
              <w:jc w:val="center"/>
            </w:pPr>
            <w:r>
              <w:t>30.3</w:t>
            </w:r>
            <w:r w:rsidR="00AD0EF3">
              <w:t>%</w:t>
            </w:r>
          </w:p>
        </w:tc>
      </w:tr>
    </w:tbl>
    <w:p w14:paraId="17953E5F" w14:textId="77777777" w:rsidR="00166BFF" w:rsidRDefault="00166BFF" w:rsidP="0057022F">
      <w:pPr>
        <w:autoSpaceDE w:val="0"/>
        <w:autoSpaceDN w:val="0"/>
        <w:spacing w:line="276" w:lineRule="auto"/>
        <w:rPr>
          <w:rStyle w:val="Strong"/>
          <w:rFonts w:asciiTheme="minorHAnsi" w:eastAsiaTheme="majorEastAsia" w:hAnsiTheme="minorHAnsi" w:cstheme="minorHAnsi"/>
          <w:b/>
          <w:color w:val="auto"/>
        </w:rPr>
      </w:pPr>
    </w:p>
    <w:p w14:paraId="17953E60" w14:textId="77777777" w:rsidR="00166BFF" w:rsidRDefault="0057022F" w:rsidP="0057022F">
      <w:pPr>
        <w:autoSpaceDE w:val="0"/>
        <w:autoSpaceDN w:val="0"/>
        <w:spacing w:line="276" w:lineRule="auto"/>
        <w:rPr>
          <w:rFonts w:asciiTheme="minorHAnsi" w:hAnsiTheme="minorHAnsi" w:cstheme="minorHAnsi"/>
        </w:rPr>
      </w:pPr>
      <w:r w:rsidRPr="0057022F">
        <w:rPr>
          <w:rStyle w:val="Strong"/>
          <w:rFonts w:asciiTheme="minorHAnsi" w:eastAsiaTheme="majorEastAsia" w:hAnsiTheme="minorHAnsi" w:cstheme="minorHAnsi"/>
          <w:b/>
          <w:color w:val="auto"/>
        </w:rPr>
        <w:t>Partnership</w:t>
      </w:r>
      <w:r w:rsidRPr="0057022F">
        <w:rPr>
          <w:rFonts w:asciiTheme="minorHAnsi" w:hAnsiTheme="minorHAnsi" w:cstheme="minorHAnsi"/>
          <w:b/>
        </w:rPr>
        <w:t>:</w:t>
      </w:r>
      <w:r w:rsidRPr="002C7DDD">
        <w:rPr>
          <w:rFonts w:asciiTheme="minorHAnsi" w:hAnsiTheme="minorHAnsi" w:cstheme="minorHAnsi"/>
        </w:rPr>
        <w:t xml:space="preserve"> this is a stakeholder pension with a contribution from Ofwat. How much we pay is based on your age. We pay this regardless of whether you choose to contribute anything. You do not have to contribute but, if you do, we will also match your contributions up to 3% of your pensionable earnings. </w:t>
      </w:r>
    </w:p>
    <w:p w14:paraId="17953E61" w14:textId="77777777" w:rsidR="0057022F" w:rsidRDefault="00166BFF" w:rsidP="0057022F">
      <w:pPr>
        <w:autoSpaceDE w:val="0"/>
        <w:autoSpaceDN w:val="0"/>
        <w:spacing w:line="276" w:lineRule="auto"/>
        <w:rPr>
          <w:rFonts w:asciiTheme="minorHAnsi" w:hAnsiTheme="minorHAnsi" w:cstheme="minorHAnsi"/>
        </w:rPr>
      </w:pPr>
      <w:r>
        <w:rPr>
          <w:rFonts w:asciiTheme="minorHAnsi" w:hAnsiTheme="minorHAnsi" w:cstheme="minorHAnsi"/>
        </w:rPr>
        <w:t xml:space="preserve">Employer </w:t>
      </w:r>
      <w:r w:rsidR="0057022F" w:rsidRPr="002C7DDD">
        <w:rPr>
          <w:rFonts w:asciiTheme="minorHAnsi" w:hAnsiTheme="minorHAnsi" w:cstheme="minorHAnsi"/>
        </w:rPr>
        <w:t>age-related contribution</w:t>
      </w:r>
      <w:r w:rsidR="00A82724">
        <w:rPr>
          <w:rFonts w:asciiTheme="minorHAnsi" w:hAnsiTheme="minorHAnsi" w:cstheme="minorHAnsi"/>
        </w:rPr>
        <w:t>s</w:t>
      </w:r>
      <w:r w:rsidR="00790F86">
        <w:rPr>
          <w:rFonts w:asciiTheme="minorHAnsi" w:hAnsiTheme="minorHAnsi" w:cstheme="minorHAnsi"/>
        </w:rPr>
        <w:t xml:space="preserve"> are</w:t>
      </w:r>
      <w:r>
        <w:rPr>
          <w:rFonts w:asciiTheme="minorHAnsi" w:hAnsiTheme="minorHAnsi" w:cstheme="minorHAnsi"/>
        </w:rPr>
        <w:t>:</w:t>
      </w:r>
    </w:p>
    <w:tbl>
      <w:tblPr>
        <w:tblW w:w="3332" w:type="pct"/>
        <w:shd w:val="clear" w:color="auto" w:fill="FFFFFF"/>
        <w:tblCellMar>
          <w:left w:w="0" w:type="dxa"/>
          <w:right w:w="0" w:type="dxa"/>
        </w:tblCellMar>
        <w:tblLook w:val="04A0" w:firstRow="1" w:lastRow="0" w:firstColumn="1" w:lastColumn="0" w:noHBand="0" w:noVBand="1"/>
      </w:tblPr>
      <w:tblGrid>
        <w:gridCol w:w="2997"/>
        <w:gridCol w:w="3005"/>
      </w:tblGrid>
      <w:tr w:rsidR="00A82724" w14:paraId="17953E64" w14:textId="77777777" w:rsidTr="00824535">
        <w:trPr>
          <w:trHeight w:val="20"/>
        </w:trPr>
        <w:tc>
          <w:tcPr>
            <w:tcW w:w="2497" w:type="pct"/>
            <w:tcBorders>
              <w:top w:val="single" w:sz="8" w:space="0" w:color="857362"/>
              <w:left w:val="single" w:sz="8" w:space="0" w:color="857362"/>
              <w:bottom w:val="single" w:sz="8" w:space="0" w:color="857362"/>
              <w:right w:val="single" w:sz="8" w:space="0" w:color="857362"/>
            </w:tcBorders>
            <w:shd w:val="clear" w:color="auto" w:fill="E0DCD8"/>
            <w:tcMar>
              <w:top w:w="0" w:type="dxa"/>
              <w:left w:w="108" w:type="dxa"/>
              <w:bottom w:w="0" w:type="dxa"/>
              <w:right w:w="108" w:type="dxa"/>
            </w:tcMar>
          </w:tcPr>
          <w:p w14:paraId="17953E62" w14:textId="77777777" w:rsidR="00A82724" w:rsidRDefault="00A82724" w:rsidP="00824535">
            <w:pPr>
              <w:pStyle w:val="Tabledescriptorcell1"/>
              <w:rPr>
                <w:szCs w:val="24"/>
                <w:lang w:eastAsia="en-US"/>
              </w:rPr>
            </w:pPr>
            <w:r>
              <w:rPr>
                <w:szCs w:val="24"/>
                <w:lang w:eastAsia="en-US"/>
              </w:rPr>
              <w:t>Age at the last 6 April</w:t>
            </w:r>
          </w:p>
        </w:tc>
        <w:tc>
          <w:tcPr>
            <w:tcW w:w="2503" w:type="pct"/>
            <w:tcBorders>
              <w:top w:val="single" w:sz="8" w:space="0" w:color="857362"/>
              <w:left w:val="nil"/>
              <w:bottom w:val="single" w:sz="8" w:space="0" w:color="857362"/>
              <w:right w:val="single" w:sz="8" w:space="0" w:color="857362"/>
            </w:tcBorders>
            <w:shd w:val="clear" w:color="auto" w:fill="E0DCD8"/>
            <w:tcMar>
              <w:top w:w="0" w:type="dxa"/>
              <w:left w:w="108" w:type="dxa"/>
              <w:bottom w:w="0" w:type="dxa"/>
              <w:right w:w="108" w:type="dxa"/>
            </w:tcMar>
          </w:tcPr>
          <w:p w14:paraId="17953E63" w14:textId="77777777" w:rsidR="00A82724" w:rsidRDefault="00365144" w:rsidP="00824535">
            <w:pPr>
              <w:pStyle w:val="Tabledescriptorcells"/>
              <w:rPr>
                <w:sz w:val="20"/>
                <w:lang w:eastAsia="en-US"/>
              </w:rPr>
            </w:pPr>
            <w:r>
              <w:rPr>
                <w:sz w:val="20"/>
                <w:lang w:eastAsia="en-US"/>
              </w:rPr>
              <w:t>Percentage of your pensionable earnings</w:t>
            </w:r>
          </w:p>
        </w:tc>
      </w:tr>
      <w:tr w:rsidR="00A82724" w14:paraId="17953E67" w14:textId="77777777" w:rsidTr="00824535">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65" w14:textId="77777777" w:rsidR="00A82724" w:rsidRDefault="00A82724" w:rsidP="00824535">
            <w:pPr>
              <w:pStyle w:val="Tableparagraph"/>
            </w:pPr>
            <w:r>
              <w:t>Under 31</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66" w14:textId="77777777" w:rsidR="00A82724" w:rsidRDefault="00A82724" w:rsidP="00824535">
            <w:pPr>
              <w:pStyle w:val="Tableparagraph"/>
              <w:jc w:val="center"/>
            </w:pPr>
            <w:r>
              <w:t>8%</w:t>
            </w:r>
          </w:p>
        </w:tc>
      </w:tr>
      <w:tr w:rsidR="00A82724" w14:paraId="17953E6A" w14:textId="77777777" w:rsidTr="00824535">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68" w14:textId="77777777" w:rsidR="00A82724" w:rsidRDefault="00A82724" w:rsidP="00824535">
            <w:pPr>
              <w:pStyle w:val="Tableparagraph"/>
            </w:pPr>
            <w:r>
              <w:t>31 to 35</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69" w14:textId="77777777" w:rsidR="00A82724" w:rsidRDefault="00A82724" w:rsidP="00824535">
            <w:pPr>
              <w:pStyle w:val="Tableparagraph"/>
              <w:jc w:val="center"/>
            </w:pPr>
            <w:r>
              <w:t>9%</w:t>
            </w:r>
          </w:p>
        </w:tc>
      </w:tr>
      <w:tr w:rsidR="00A82724" w14:paraId="17953E6D" w14:textId="77777777" w:rsidTr="00166BFF">
        <w:trPr>
          <w:trHeight w:val="20"/>
        </w:trPr>
        <w:tc>
          <w:tcPr>
            <w:tcW w:w="2497" w:type="pct"/>
            <w:tcBorders>
              <w:top w:val="nil"/>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6B" w14:textId="77777777" w:rsidR="00A82724" w:rsidRDefault="00A82724" w:rsidP="00824535">
            <w:pPr>
              <w:pStyle w:val="Tableparagraph"/>
            </w:pPr>
            <w:r>
              <w:t>36 to 40</w:t>
            </w:r>
          </w:p>
        </w:tc>
        <w:tc>
          <w:tcPr>
            <w:tcW w:w="2503" w:type="pct"/>
            <w:tcBorders>
              <w:top w:val="nil"/>
              <w:left w:val="nil"/>
              <w:bottom w:val="single" w:sz="8" w:space="0" w:color="857362"/>
              <w:right w:val="single" w:sz="8" w:space="0" w:color="857362"/>
            </w:tcBorders>
            <w:shd w:val="clear" w:color="auto" w:fill="FFFFFF"/>
            <w:tcMar>
              <w:top w:w="0" w:type="dxa"/>
              <w:left w:w="108" w:type="dxa"/>
              <w:bottom w:w="0" w:type="dxa"/>
              <w:right w:w="108" w:type="dxa"/>
            </w:tcMar>
          </w:tcPr>
          <w:p w14:paraId="17953E6C" w14:textId="77777777" w:rsidR="00A82724" w:rsidRDefault="00A82724" w:rsidP="00824535">
            <w:pPr>
              <w:pStyle w:val="Tableparagraph"/>
              <w:jc w:val="center"/>
            </w:pPr>
            <w:r>
              <w:t>11%</w:t>
            </w:r>
          </w:p>
        </w:tc>
      </w:tr>
      <w:tr w:rsidR="00A82724" w14:paraId="17953E70" w14:textId="77777777" w:rsidTr="00166BFF">
        <w:trPr>
          <w:trHeight w:val="20"/>
        </w:trPr>
        <w:tc>
          <w:tcPr>
            <w:tcW w:w="2497" w:type="pct"/>
            <w:tcBorders>
              <w:top w:val="single" w:sz="8" w:space="0" w:color="857362"/>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6E" w14:textId="77777777" w:rsidR="00A82724" w:rsidRDefault="00166BFF" w:rsidP="00824535">
            <w:pPr>
              <w:pStyle w:val="Tableparagraph"/>
            </w:pPr>
            <w:r>
              <w:t>41 to 45</w:t>
            </w:r>
          </w:p>
        </w:tc>
        <w:tc>
          <w:tcPr>
            <w:tcW w:w="2503" w:type="pct"/>
            <w:tcBorders>
              <w:top w:val="single" w:sz="8" w:space="0" w:color="857362"/>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6F" w14:textId="77777777" w:rsidR="00A82724" w:rsidRDefault="00166BFF" w:rsidP="00824535">
            <w:pPr>
              <w:pStyle w:val="Tableparagraph"/>
              <w:jc w:val="center"/>
            </w:pPr>
            <w:r>
              <w:t>13.5%</w:t>
            </w:r>
          </w:p>
        </w:tc>
      </w:tr>
      <w:tr w:rsidR="00166BFF" w14:paraId="17953E73" w14:textId="77777777" w:rsidTr="00166BFF">
        <w:trPr>
          <w:trHeight w:val="20"/>
        </w:trPr>
        <w:tc>
          <w:tcPr>
            <w:tcW w:w="2497" w:type="pct"/>
            <w:tcBorders>
              <w:top w:val="single" w:sz="8" w:space="0" w:color="857362"/>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71" w14:textId="77777777" w:rsidR="00166BFF" w:rsidRDefault="00166BFF" w:rsidP="00824535">
            <w:pPr>
              <w:pStyle w:val="Tableparagraph"/>
            </w:pPr>
            <w:r>
              <w:t>46 or over</w:t>
            </w:r>
          </w:p>
        </w:tc>
        <w:tc>
          <w:tcPr>
            <w:tcW w:w="2503" w:type="pct"/>
            <w:tcBorders>
              <w:top w:val="single" w:sz="8" w:space="0" w:color="857362"/>
              <w:left w:val="single" w:sz="8" w:space="0" w:color="857362"/>
              <w:bottom w:val="single" w:sz="8" w:space="0" w:color="857362"/>
              <w:right w:val="single" w:sz="8" w:space="0" w:color="857362"/>
            </w:tcBorders>
            <w:shd w:val="clear" w:color="auto" w:fill="FFFFFF"/>
            <w:tcMar>
              <w:top w:w="0" w:type="dxa"/>
              <w:left w:w="108" w:type="dxa"/>
              <w:bottom w:w="0" w:type="dxa"/>
              <w:right w:w="108" w:type="dxa"/>
            </w:tcMar>
          </w:tcPr>
          <w:p w14:paraId="17953E72" w14:textId="77777777" w:rsidR="00166BFF" w:rsidRDefault="00166BFF" w:rsidP="00824535">
            <w:pPr>
              <w:pStyle w:val="Tableparagraph"/>
              <w:jc w:val="center"/>
            </w:pPr>
            <w:r>
              <w:t>14.75%</w:t>
            </w:r>
          </w:p>
        </w:tc>
      </w:tr>
    </w:tbl>
    <w:p w14:paraId="17953E74" w14:textId="77777777" w:rsidR="00166BFF" w:rsidRDefault="00166BFF" w:rsidP="0057022F">
      <w:pPr>
        <w:pStyle w:val="Heading2"/>
        <w:spacing w:before="0" w:after="0" w:line="240" w:lineRule="auto"/>
        <w:rPr>
          <w:rFonts w:asciiTheme="minorHAnsi" w:hAnsiTheme="minorHAnsi" w:cstheme="minorHAnsi"/>
          <w:bCs w:val="0"/>
          <w:color w:val="auto"/>
          <w:sz w:val="24"/>
          <w:szCs w:val="24"/>
        </w:rPr>
      </w:pPr>
    </w:p>
    <w:p w14:paraId="17953E75" w14:textId="77777777" w:rsidR="00166BFF" w:rsidRDefault="00166BFF" w:rsidP="0057022F">
      <w:pPr>
        <w:pStyle w:val="Heading2"/>
        <w:spacing w:before="0" w:after="0" w:line="240" w:lineRule="auto"/>
        <w:rPr>
          <w:rFonts w:asciiTheme="minorHAnsi" w:hAnsiTheme="minorHAnsi" w:cstheme="minorHAnsi"/>
          <w:bCs w:val="0"/>
          <w:color w:val="auto"/>
          <w:sz w:val="24"/>
          <w:szCs w:val="24"/>
        </w:rPr>
      </w:pPr>
    </w:p>
    <w:p w14:paraId="17953E76" w14:textId="77777777" w:rsidR="0057022F" w:rsidRPr="0053032D" w:rsidRDefault="0057022F" w:rsidP="0057022F">
      <w:pPr>
        <w:pStyle w:val="Heading2"/>
        <w:spacing w:before="0" w:after="0" w:line="240" w:lineRule="auto"/>
        <w:rPr>
          <w:rFonts w:asciiTheme="minorHAnsi" w:hAnsiTheme="minorHAnsi" w:cstheme="minorHAnsi"/>
          <w:sz w:val="24"/>
          <w:szCs w:val="24"/>
        </w:rPr>
      </w:pPr>
      <w:r w:rsidRPr="002C7DDD">
        <w:rPr>
          <w:rFonts w:asciiTheme="minorHAnsi" w:hAnsiTheme="minorHAnsi" w:cstheme="minorHAnsi"/>
          <w:bCs w:val="0"/>
          <w:color w:val="auto"/>
          <w:sz w:val="24"/>
          <w:szCs w:val="24"/>
        </w:rPr>
        <w:t>To learn more about the Civil Service Pension schemes, please follow the link</w:t>
      </w:r>
      <w:r w:rsidRPr="0053032D">
        <w:rPr>
          <w:rFonts w:asciiTheme="minorHAnsi" w:hAnsiTheme="minorHAnsi" w:cstheme="minorHAnsi"/>
          <w:sz w:val="24"/>
          <w:szCs w:val="24"/>
        </w:rPr>
        <w:t xml:space="preserve"> </w:t>
      </w:r>
      <w:hyperlink r:id="rId19" w:history="1">
        <w:r w:rsidRPr="0053032D">
          <w:rPr>
            <w:rStyle w:val="Hyperlink"/>
            <w:rFonts w:asciiTheme="minorHAnsi" w:hAnsiTheme="minorHAnsi" w:cstheme="minorHAnsi"/>
          </w:rPr>
          <w:t>http://www.civilservicepensionscheme.org.uk/</w:t>
        </w:r>
      </w:hyperlink>
    </w:p>
    <w:p w14:paraId="17953E77" w14:textId="77777777" w:rsidR="006F5487" w:rsidRDefault="006F5487" w:rsidP="006F5487">
      <w:pPr>
        <w:pStyle w:val="Heading2"/>
        <w:spacing w:before="0" w:after="0" w:line="240" w:lineRule="auto"/>
      </w:pPr>
    </w:p>
    <w:p w14:paraId="17953E78" w14:textId="77777777" w:rsidR="00166BFF" w:rsidRDefault="00166BFF">
      <w:pPr>
        <w:spacing w:before="0" w:after="0" w:line="240" w:lineRule="auto"/>
        <w:rPr>
          <w:rFonts w:ascii="Franklin Gothic Demi" w:hAnsi="Franklin Gothic Demi"/>
          <w:bCs/>
          <w:color w:val="003479"/>
          <w:sz w:val="32"/>
          <w:szCs w:val="26"/>
        </w:rPr>
      </w:pPr>
    </w:p>
    <w:p w14:paraId="17953E79" w14:textId="77777777" w:rsidR="006F5487" w:rsidRPr="00703A57" w:rsidRDefault="006F5487" w:rsidP="006F5487">
      <w:pPr>
        <w:pStyle w:val="Heading2"/>
        <w:spacing w:before="0" w:after="0" w:line="240" w:lineRule="auto"/>
        <w:rPr>
          <w:rFonts w:ascii="Arial" w:hAnsi="Arial" w:cs="Arial"/>
          <w:sz w:val="24"/>
          <w:szCs w:val="24"/>
        </w:rPr>
      </w:pPr>
      <w:r w:rsidRPr="00703A57">
        <w:t>Ofwat benefits</w:t>
      </w:r>
    </w:p>
    <w:p w14:paraId="17953E7A" w14:textId="77777777" w:rsidR="006F5487" w:rsidRPr="00C04BA0" w:rsidRDefault="006F5487" w:rsidP="006F5487">
      <w:r>
        <w:t>We also offer a range of additional benefits. These include:</w:t>
      </w:r>
    </w:p>
    <w:p w14:paraId="17953E7B" w14:textId="77777777" w:rsidR="006F5487" w:rsidRDefault="006F5487" w:rsidP="00A92F0D">
      <w:pPr>
        <w:pStyle w:val="ListParagraph"/>
        <w:numPr>
          <w:ilvl w:val="0"/>
          <w:numId w:val="5"/>
        </w:numPr>
        <w:autoSpaceDE w:val="0"/>
        <w:autoSpaceDN w:val="0"/>
        <w:adjustRightInd w:val="0"/>
      </w:pPr>
      <w:proofErr w:type="gramStart"/>
      <w:r>
        <w:t>access</w:t>
      </w:r>
      <w:proofErr w:type="gramEnd"/>
      <w:r>
        <w:t xml:space="preserve"> to our package of benefits via our </w:t>
      </w:r>
      <w:r w:rsidR="000B3D56">
        <w:rPr>
          <w:rStyle w:val="Strong"/>
          <w:rFonts w:asciiTheme="minorHAnsi" w:eastAsiaTheme="majorEastAsia" w:hAnsiTheme="minorHAnsi" w:cstheme="minorHAnsi"/>
        </w:rPr>
        <w:t>‘</w:t>
      </w:r>
      <w:proofErr w:type="spellStart"/>
      <w:r w:rsidR="000B3D56">
        <w:rPr>
          <w:rStyle w:val="Strong"/>
          <w:rFonts w:asciiTheme="minorHAnsi" w:eastAsiaTheme="majorEastAsia" w:hAnsiTheme="minorHAnsi" w:cstheme="minorHAnsi"/>
        </w:rPr>
        <w:t>Edenred</w:t>
      </w:r>
      <w:proofErr w:type="spellEnd"/>
      <w:r w:rsidRPr="00472E48">
        <w:rPr>
          <w:rStyle w:val="Strong"/>
          <w:rFonts w:asciiTheme="minorHAnsi" w:eastAsiaTheme="majorEastAsia" w:hAnsiTheme="minorHAnsi" w:cstheme="minorHAnsi"/>
        </w:rPr>
        <w:t>’</w:t>
      </w:r>
      <w:r>
        <w:t xml:space="preserve"> scheme. T</w:t>
      </w:r>
      <w:r w:rsidRPr="00DC0C5A">
        <w:t>his is a volun</w:t>
      </w:r>
      <w:r>
        <w:t>tary benefits scheme where staff</w:t>
      </w:r>
      <w:r w:rsidRPr="00DC0C5A">
        <w:t xml:space="preserve"> have access to exclusive discounts on a range of goods and services such as retail outlets</w:t>
      </w:r>
      <w:r>
        <w:t xml:space="preserve">, theatre tickets, holidays, </w:t>
      </w:r>
      <w:r w:rsidRPr="00DC0C5A">
        <w:t>insurance</w:t>
      </w:r>
      <w:r>
        <w:t xml:space="preserve"> and gym membership;</w:t>
      </w:r>
    </w:p>
    <w:p w14:paraId="17953E7C" w14:textId="77777777" w:rsidR="006F5487" w:rsidRDefault="006F5487" w:rsidP="00B62167">
      <w:pPr>
        <w:pStyle w:val="ListParagraph"/>
        <w:numPr>
          <w:ilvl w:val="0"/>
          <w:numId w:val="5"/>
        </w:numPr>
        <w:autoSpaceDE w:val="0"/>
        <w:autoSpaceDN w:val="0"/>
        <w:adjustRightInd w:val="0"/>
      </w:pPr>
      <w:r>
        <w:lastRenderedPageBreak/>
        <w:t>cycle-to-work scheme;</w:t>
      </w:r>
    </w:p>
    <w:p w14:paraId="17953E7D" w14:textId="77777777" w:rsidR="006F5487" w:rsidRDefault="006F5487" w:rsidP="00B62167">
      <w:pPr>
        <w:pStyle w:val="ListParagraph"/>
        <w:numPr>
          <w:ilvl w:val="0"/>
          <w:numId w:val="5"/>
        </w:numPr>
        <w:autoSpaceDE w:val="0"/>
        <w:autoSpaceDN w:val="0"/>
        <w:adjustRightInd w:val="0"/>
      </w:pPr>
      <w:r w:rsidRPr="00F5433C">
        <w:t>season ticket loan for travel between home and office</w:t>
      </w:r>
      <w:r>
        <w:t>;</w:t>
      </w:r>
    </w:p>
    <w:p w14:paraId="17953E7E" w14:textId="77777777" w:rsidR="006F5487" w:rsidRPr="00D919D9" w:rsidRDefault="006F5487" w:rsidP="00B62167">
      <w:pPr>
        <w:pStyle w:val="ListParagraph"/>
        <w:numPr>
          <w:ilvl w:val="0"/>
          <w:numId w:val="5"/>
        </w:numPr>
        <w:autoSpaceDE w:val="0"/>
        <w:autoSpaceDN w:val="0"/>
        <w:adjustRightInd w:val="0"/>
      </w:pPr>
      <w:r w:rsidRPr="00F5433C">
        <w:t>flexible working arrangements</w:t>
      </w:r>
      <w:r>
        <w:t>;</w:t>
      </w:r>
    </w:p>
    <w:p w14:paraId="17953E7F" w14:textId="77777777" w:rsidR="006F5487" w:rsidRPr="00F5433C" w:rsidRDefault="006F5487" w:rsidP="00B62167">
      <w:pPr>
        <w:pStyle w:val="ListParagraph"/>
        <w:numPr>
          <w:ilvl w:val="0"/>
          <w:numId w:val="5"/>
        </w:numPr>
        <w:autoSpaceDE w:val="0"/>
        <w:autoSpaceDN w:val="0"/>
        <w:adjustRightInd w:val="0"/>
      </w:pPr>
      <w:r w:rsidRPr="00F5433C">
        <w:t>fees paid for members</w:t>
      </w:r>
      <w:r>
        <w:t>hip</w:t>
      </w:r>
      <w:r w:rsidRPr="00F5433C">
        <w:t xml:space="preserve"> of relevant professional bodies</w:t>
      </w:r>
      <w:r>
        <w:t>;</w:t>
      </w:r>
    </w:p>
    <w:p w14:paraId="17953E80" w14:textId="77777777" w:rsidR="006F5487" w:rsidRPr="00F5433C" w:rsidRDefault="006F5487" w:rsidP="00B62167">
      <w:pPr>
        <w:pStyle w:val="ListParagraph"/>
        <w:numPr>
          <w:ilvl w:val="0"/>
          <w:numId w:val="5"/>
        </w:numPr>
        <w:autoSpaceDE w:val="0"/>
        <w:autoSpaceDN w:val="0"/>
        <w:adjustRightInd w:val="0"/>
      </w:pPr>
      <w:r w:rsidRPr="00F5433C">
        <w:t>regular professional development</w:t>
      </w:r>
      <w:r>
        <w:t>;</w:t>
      </w:r>
    </w:p>
    <w:p w14:paraId="17953E81" w14:textId="77777777" w:rsidR="006F5487" w:rsidRDefault="006F5487" w:rsidP="00B62167">
      <w:pPr>
        <w:pStyle w:val="ListParagraph"/>
        <w:numPr>
          <w:ilvl w:val="0"/>
          <w:numId w:val="5"/>
        </w:numPr>
        <w:autoSpaceDE w:val="0"/>
        <w:autoSpaceDN w:val="0"/>
        <w:adjustRightInd w:val="0"/>
      </w:pPr>
      <w:r>
        <w:t xml:space="preserve">health and wellbeing initiatives; and </w:t>
      </w:r>
    </w:p>
    <w:p w14:paraId="17953E82" w14:textId="77777777" w:rsidR="006F5487" w:rsidRDefault="006F5487" w:rsidP="00B62167">
      <w:pPr>
        <w:pStyle w:val="ListParagraph"/>
        <w:numPr>
          <w:ilvl w:val="0"/>
          <w:numId w:val="5"/>
        </w:numPr>
        <w:autoSpaceDE w:val="0"/>
        <w:autoSpaceDN w:val="0"/>
        <w:adjustRightInd w:val="0"/>
      </w:pPr>
      <w:r w:rsidRPr="008C63DB">
        <w:t>free eye tests and contribution towards lenses/spectacles for VDU users</w:t>
      </w:r>
      <w:r>
        <w:t>,</w:t>
      </w:r>
      <w:r w:rsidR="00790F86">
        <w:t xml:space="preserve"> if appropriate</w:t>
      </w:r>
    </w:p>
    <w:p w14:paraId="17953E83" w14:textId="77777777" w:rsidR="00C579F6" w:rsidRPr="0055708F" w:rsidRDefault="0055708F" w:rsidP="0055708F">
      <w:pPr>
        <w:pStyle w:val="Heading1"/>
      </w:pPr>
      <w:r w:rsidRPr="0055708F">
        <w:t>Further information</w:t>
      </w:r>
    </w:p>
    <w:p w14:paraId="17953E84" w14:textId="77777777" w:rsidR="00DF7BA4" w:rsidRPr="00453321" w:rsidRDefault="00DF7BA4" w:rsidP="00DF7BA4">
      <w:pPr>
        <w:pStyle w:val="Heading2"/>
      </w:pPr>
      <w:r w:rsidRPr="00453321">
        <w:t>Security clearance</w:t>
      </w:r>
    </w:p>
    <w:p w14:paraId="17953E85" w14:textId="77777777" w:rsidR="00DF7BA4" w:rsidRPr="0077260B" w:rsidRDefault="00DF7BA4" w:rsidP="00DF7BA4">
      <w:r w:rsidRPr="00F5433C">
        <w:t>Any offer of appointment will be subject to satisfactory completion of security and pre-employment checks. Further information about the security</w:t>
      </w:r>
      <w:r>
        <w:t xml:space="preserve"> </w:t>
      </w:r>
      <w:r w:rsidRPr="00F5433C">
        <w:t>checking pro</w:t>
      </w:r>
      <w:r>
        <w:t>cedure is available on request.</w:t>
      </w:r>
    </w:p>
    <w:p w14:paraId="17953E86" w14:textId="77777777" w:rsidR="00DF7BA4" w:rsidRPr="00DF7BA4" w:rsidRDefault="00DF7BA4" w:rsidP="00DF7BA4">
      <w:pPr>
        <w:pStyle w:val="Heading2"/>
      </w:pPr>
      <w:r w:rsidRPr="00DF7BA4">
        <w:t>Nationality and immigration control</w:t>
      </w:r>
    </w:p>
    <w:p w14:paraId="17953E87" w14:textId="77777777" w:rsidR="00DF7BA4" w:rsidRPr="00F5433C" w:rsidRDefault="00DF7BA4" w:rsidP="00DF7BA4">
      <w:r w:rsidRPr="00F5433C">
        <w:t>This post is open to nationals of states within the British Commonwealth and the European Economic Area (EEA) and certain members of their families. There must be no employment restriction or time limit on your permitted stay in the UK.</w:t>
      </w:r>
    </w:p>
    <w:p w14:paraId="17953E88" w14:textId="77777777" w:rsidR="00DF7BA4" w:rsidRPr="0077260B" w:rsidRDefault="00DF7BA4" w:rsidP="00DF7BA4">
      <w:r w:rsidRPr="00F5433C">
        <w:t xml:space="preserve">If you would like further information on Nationality and Immigration Control, please email us at </w:t>
      </w:r>
      <w:hyperlink r:id="rId20" w:history="1">
        <w:r w:rsidR="00117CA3" w:rsidRPr="00E87939">
          <w:rPr>
            <w:rStyle w:val="Hyperlink"/>
          </w:rPr>
          <w:t>people@ofwat.gov.uk</w:t>
        </w:r>
      </w:hyperlink>
      <w:r>
        <w:t>.</w:t>
      </w:r>
    </w:p>
    <w:p w14:paraId="17953E89" w14:textId="77777777" w:rsidR="00DF7BA4" w:rsidRPr="00453321" w:rsidRDefault="00DF7BA4" w:rsidP="00DF7BA4">
      <w:pPr>
        <w:pStyle w:val="Heading2"/>
      </w:pPr>
      <w:r w:rsidRPr="00453321">
        <w:t>Stocks or shares</w:t>
      </w:r>
    </w:p>
    <w:p w14:paraId="17953E8A" w14:textId="77777777" w:rsidR="00C579F6" w:rsidRDefault="00DF7BA4" w:rsidP="00DF7BA4">
      <w:r w:rsidRPr="00F5433C">
        <w:t xml:space="preserve">Because of the nature of the information you will come into contact with and the need to be wholly independent of the water </w:t>
      </w:r>
      <w:r>
        <w:t>sector in England and Wales</w:t>
      </w:r>
      <w:r w:rsidRPr="00F5433C">
        <w:t>, you</w:t>
      </w:r>
      <w:r>
        <w:t xml:space="preserve"> and y</w:t>
      </w:r>
      <w:r w:rsidRPr="00F5433C">
        <w:t xml:space="preserve">our </w:t>
      </w:r>
      <w:r w:rsidRPr="0065521C">
        <w:t xml:space="preserve">family (including your spouse or civil partner and any children or step-children under the age of 18 who still live at home, or any other member of your household) </w:t>
      </w:r>
      <w:r w:rsidRPr="00F5433C">
        <w:t xml:space="preserve">will be precluded from </w:t>
      </w:r>
      <w:r w:rsidRPr="0065521C">
        <w:t>own</w:t>
      </w:r>
      <w:r>
        <w:t>ing</w:t>
      </w:r>
      <w:r w:rsidRPr="0065521C">
        <w:t>, purchas</w:t>
      </w:r>
      <w:r>
        <w:t>ing</w:t>
      </w:r>
      <w:r w:rsidRPr="0065521C">
        <w:t xml:space="preserve"> or deal</w:t>
      </w:r>
      <w:r>
        <w:t>ing</w:t>
      </w:r>
      <w:r w:rsidRPr="0065521C">
        <w:t xml:space="preserve"> in the shares of the water companies and their holding companies</w:t>
      </w:r>
      <w:r w:rsidRPr="00F5433C">
        <w:t>.</w:t>
      </w:r>
    </w:p>
    <w:p w14:paraId="17953E8B" w14:textId="77777777" w:rsidR="00C579F6" w:rsidRDefault="00C579F6" w:rsidP="0055708F">
      <w:pPr>
        <w:pStyle w:val="Heading2"/>
      </w:pPr>
      <w:bookmarkStart w:id="2" w:name="_Toc431303692"/>
      <w:r>
        <w:lastRenderedPageBreak/>
        <w:t>How to apply</w:t>
      </w:r>
      <w:bookmarkEnd w:id="2"/>
    </w:p>
    <w:p w14:paraId="17953E8C" w14:textId="77777777" w:rsidR="00A2387A" w:rsidRPr="00F5433C" w:rsidRDefault="00A2387A" w:rsidP="00A2387A">
      <w:r>
        <w:t>A</w:t>
      </w:r>
      <w:r w:rsidRPr="00F5433C">
        <w:t>pplications should include</w:t>
      </w:r>
      <w:r>
        <w:t xml:space="preserve"> a:</w:t>
      </w:r>
    </w:p>
    <w:p w14:paraId="17953E8D" w14:textId="77777777" w:rsidR="00A2387A" w:rsidRPr="00A2387A" w:rsidRDefault="00A2387A" w:rsidP="00A2387A">
      <w:pPr>
        <w:pStyle w:val="ListParagraph"/>
      </w:pPr>
      <w:r w:rsidRPr="00A2387A">
        <w:t xml:space="preserve">curriculum vitae </w:t>
      </w:r>
      <w:r w:rsidRPr="00A2387A">
        <w:rPr>
          <w:rStyle w:val="EmphasisedtextChar"/>
        </w:rPr>
        <w:t>(CV)</w:t>
      </w:r>
      <w:r w:rsidRPr="00A2387A">
        <w:t>;</w:t>
      </w:r>
    </w:p>
    <w:p w14:paraId="1D097904" w14:textId="542904D4" w:rsidR="00A2387A" w:rsidRPr="00A2387A" w:rsidRDefault="00A2387A" w:rsidP="00A2387A">
      <w:pPr>
        <w:pStyle w:val="ListParagraph"/>
        <w:rPr>
          <w:rFonts w:eastAsia="Arial" w:cs="Arial"/>
        </w:rPr>
      </w:pPr>
      <w:r w:rsidRPr="6B9809E0">
        <w:rPr>
          <w:rStyle w:val="EmphasisedtextChar"/>
        </w:rPr>
        <w:t>covering letter</w:t>
      </w:r>
      <w:r>
        <w:t xml:space="preserve"> </w:t>
      </w:r>
      <w:r w:rsidR="491D7498" w:rsidRPr="6B9809E0">
        <w:rPr>
          <w:rFonts w:eastAsia="Arial" w:cs="Arial"/>
        </w:rPr>
        <w:t>or supporting statement that outlines the contribution you can make to Ofwat, including how you feel you meet our professional requirements and demonstrate behaviours outlined in our competency framework;</w:t>
      </w:r>
      <w:r w:rsidR="491D7498" w:rsidRPr="6B9809E0">
        <w:rPr>
          <w:rStyle w:val="Strong"/>
          <w:rFonts w:ascii="Arial" w:eastAsiaTheme="majorEastAsia" w:hAnsi="Arial" w:cs="Times New Roman"/>
          <w:color w:val="auto"/>
        </w:rPr>
        <w:t xml:space="preserve"> </w:t>
      </w:r>
    </w:p>
    <w:p w14:paraId="17953E8F" w14:textId="1CF6D86A" w:rsidR="00A2387A" w:rsidRPr="00A2387A" w:rsidRDefault="00A2387A" w:rsidP="00A2387A">
      <w:pPr>
        <w:pStyle w:val="ListParagraph"/>
      </w:pPr>
      <w:r w:rsidRPr="6B9809E0">
        <w:rPr>
          <w:rStyle w:val="Strong"/>
          <w:rFonts w:ascii="Arial" w:eastAsiaTheme="majorEastAsia" w:hAnsi="Arial" w:cs="Times New Roman"/>
          <w:color w:val="auto"/>
        </w:rPr>
        <w:t xml:space="preserve">completed </w:t>
      </w:r>
      <w:r w:rsidRPr="6B9809E0">
        <w:rPr>
          <w:rStyle w:val="EmphasisedtextChar"/>
          <w:rFonts w:eastAsiaTheme="majorEastAsia"/>
        </w:rPr>
        <w:t>CV supplement form</w:t>
      </w:r>
      <w:r w:rsidRPr="6B9809E0">
        <w:rPr>
          <w:rStyle w:val="Strong"/>
          <w:rFonts w:ascii="Arial" w:eastAsiaTheme="majorEastAsia" w:hAnsi="Arial" w:cs="Times New Roman"/>
          <w:color w:val="auto"/>
        </w:rPr>
        <w:t xml:space="preserve">; </w:t>
      </w:r>
      <w:r>
        <w:t>and</w:t>
      </w:r>
    </w:p>
    <w:p w14:paraId="17953E90" w14:textId="77777777" w:rsidR="00A2387A" w:rsidRPr="00A2387A" w:rsidRDefault="00A2387A" w:rsidP="00A2387A">
      <w:pPr>
        <w:pStyle w:val="ListParagraph"/>
      </w:pPr>
      <w:proofErr w:type="gramStart"/>
      <w:r w:rsidRPr="00A2387A">
        <w:rPr>
          <w:rStyle w:val="Strong"/>
          <w:rFonts w:ascii="Arial" w:eastAsiaTheme="majorEastAsia" w:hAnsi="Arial" w:cs="Times New Roman"/>
          <w:color w:val="auto"/>
        </w:rPr>
        <w:t>completed</w:t>
      </w:r>
      <w:proofErr w:type="gramEnd"/>
      <w:r w:rsidRPr="00A2387A">
        <w:rPr>
          <w:rStyle w:val="Strong"/>
          <w:rFonts w:ascii="Arial" w:eastAsiaTheme="majorEastAsia" w:hAnsi="Arial" w:cs="Times New Roman"/>
          <w:color w:val="auto"/>
        </w:rPr>
        <w:t xml:space="preserve"> </w:t>
      </w:r>
      <w:r w:rsidRPr="00A2387A">
        <w:rPr>
          <w:rStyle w:val="EmphasisedtextChar"/>
          <w:rFonts w:eastAsiaTheme="majorEastAsia"/>
        </w:rPr>
        <w:t>diversity monitoring form</w:t>
      </w:r>
      <w:r w:rsidRPr="00A2387A">
        <w:t>. This form is not mandatory.</w:t>
      </w:r>
    </w:p>
    <w:p w14:paraId="17953E91" w14:textId="77777777" w:rsidR="00A2387A" w:rsidRDefault="00A2387A" w:rsidP="00A2387A">
      <w:r>
        <w:t xml:space="preserve">Please email your CV and supporting documents </w:t>
      </w:r>
      <w:r w:rsidRPr="00F5433C">
        <w:t xml:space="preserve">to </w:t>
      </w:r>
      <w:hyperlink r:id="rId21" w:history="1">
        <w:r w:rsidR="00117CA3" w:rsidRPr="00E87939">
          <w:rPr>
            <w:rStyle w:val="Hyperlink"/>
          </w:rPr>
          <w:t>recruitment@ofwat.gov.uk</w:t>
        </w:r>
      </w:hyperlink>
      <w:r w:rsidRPr="00A2387A">
        <w:rPr>
          <w:rStyle w:val="Hyperlink"/>
        </w:rPr>
        <w:t xml:space="preserve"> by the closing date</w:t>
      </w:r>
      <w:r>
        <w:t>.</w:t>
      </w:r>
    </w:p>
    <w:p w14:paraId="17953E92" w14:textId="77777777" w:rsidR="00A2387A" w:rsidRPr="00387D31" w:rsidRDefault="00A2387A" w:rsidP="00A2387A">
      <w:pPr>
        <w:spacing w:line="278" w:lineRule="auto"/>
        <w:rPr>
          <w:sz w:val="28"/>
          <w:szCs w:val="28"/>
        </w:rPr>
      </w:pPr>
      <w:r>
        <w:t xml:space="preserve">If you are unable to make an electronic application, you may submit your application </w:t>
      </w:r>
      <w:r w:rsidRPr="00387D31">
        <w:t>on paper. Please contact us to find out how.</w:t>
      </w:r>
    </w:p>
    <w:p w14:paraId="17953E93" w14:textId="2D7FEF2C" w:rsidR="00A2387A" w:rsidRDefault="00A2387A" w:rsidP="00FB48CE">
      <w:pPr>
        <w:pStyle w:val="Tableheading"/>
        <w:tabs>
          <w:tab w:val="center" w:pos="4513"/>
        </w:tabs>
      </w:pPr>
      <w:r w:rsidRPr="00387D31">
        <w:t>Selection timetable</w:t>
      </w:r>
      <w:r w:rsidR="00FB48CE">
        <w:tab/>
      </w:r>
    </w:p>
    <w:tbl>
      <w:tblPr>
        <w:tblStyle w:val="Ofwatnew"/>
        <w:tblW w:w="5000" w:type="pct"/>
        <w:tblLook w:val="0480" w:firstRow="0" w:lastRow="0" w:firstColumn="1" w:lastColumn="0" w:noHBand="0" w:noVBand="1"/>
      </w:tblPr>
      <w:tblGrid>
        <w:gridCol w:w="4508"/>
        <w:gridCol w:w="4508"/>
      </w:tblGrid>
      <w:tr w:rsidR="00A2387A" w:rsidRPr="00187F42" w14:paraId="17953E96" w14:textId="77777777" w:rsidTr="00A2387A">
        <w:trPr>
          <w:cnfStyle w:val="000000100000" w:firstRow="0" w:lastRow="0" w:firstColumn="0" w:lastColumn="0" w:oddVBand="0" w:evenVBand="0" w:oddHBand="1" w:evenHBand="0" w:firstRowFirstColumn="0" w:firstRowLastColumn="0" w:lastRowFirstColumn="0" w:lastRowLastColumn="0"/>
        </w:trPr>
        <w:tc>
          <w:tcPr>
            <w:tcW w:w="2500" w:type="pct"/>
          </w:tcPr>
          <w:p w14:paraId="17953E94" w14:textId="77777777" w:rsidR="00A2387A" w:rsidRPr="00A2387A" w:rsidRDefault="00A2387A" w:rsidP="00A2387A">
            <w:pPr>
              <w:pStyle w:val="Tableparagraph"/>
            </w:pPr>
            <w:r w:rsidRPr="00A2387A">
              <w:t>Closing date</w:t>
            </w:r>
          </w:p>
        </w:tc>
        <w:tc>
          <w:tcPr>
            <w:tcW w:w="2500" w:type="pct"/>
          </w:tcPr>
          <w:p w14:paraId="17953E95" w14:textId="1AA61BDA" w:rsidR="00A2387A" w:rsidRPr="004161F2" w:rsidRDefault="004161F2" w:rsidP="00A2387A">
            <w:pPr>
              <w:pStyle w:val="Tableparagraph"/>
            </w:pPr>
            <w:r w:rsidRPr="004161F2">
              <w:t>Sunday 25 October 2020 @ 5.00pm</w:t>
            </w:r>
          </w:p>
        </w:tc>
      </w:tr>
      <w:tr w:rsidR="00A2387A" w:rsidRPr="00187F42" w14:paraId="17953E99" w14:textId="77777777" w:rsidTr="00A2387A">
        <w:trPr>
          <w:cnfStyle w:val="000000010000" w:firstRow="0" w:lastRow="0" w:firstColumn="0" w:lastColumn="0" w:oddVBand="0" w:evenVBand="0" w:oddHBand="0" w:evenHBand="1" w:firstRowFirstColumn="0" w:firstRowLastColumn="0" w:lastRowFirstColumn="0" w:lastRowLastColumn="0"/>
        </w:trPr>
        <w:tc>
          <w:tcPr>
            <w:tcW w:w="2500" w:type="pct"/>
          </w:tcPr>
          <w:p w14:paraId="17953E97" w14:textId="77777777" w:rsidR="00A2387A" w:rsidRPr="00A2387A" w:rsidRDefault="00A2387A" w:rsidP="00A2387A">
            <w:pPr>
              <w:pStyle w:val="Tableparagraph"/>
            </w:pPr>
            <w:r w:rsidRPr="00A2387A">
              <w:t>Sifting</w:t>
            </w:r>
          </w:p>
        </w:tc>
        <w:tc>
          <w:tcPr>
            <w:tcW w:w="2500" w:type="pct"/>
          </w:tcPr>
          <w:p w14:paraId="17953E98" w14:textId="3584C593" w:rsidR="00A2387A" w:rsidRPr="004161F2" w:rsidRDefault="004161F2" w:rsidP="00A2387A">
            <w:pPr>
              <w:pStyle w:val="Tableparagraph"/>
            </w:pPr>
            <w:r w:rsidRPr="004161F2">
              <w:t>By 28 October 2020</w:t>
            </w:r>
          </w:p>
        </w:tc>
      </w:tr>
      <w:tr w:rsidR="00A2387A" w:rsidRPr="00187F42" w14:paraId="17953E9C" w14:textId="77777777" w:rsidTr="00A2387A">
        <w:trPr>
          <w:cnfStyle w:val="000000100000" w:firstRow="0" w:lastRow="0" w:firstColumn="0" w:lastColumn="0" w:oddVBand="0" w:evenVBand="0" w:oddHBand="1" w:evenHBand="0" w:firstRowFirstColumn="0" w:firstRowLastColumn="0" w:lastRowFirstColumn="0" w:lastRowLastColumn="0"/>
        </w:trPr>
        <w:tc>
          <w:tcPr>
            <w:tcW w:w="2500" w:type="pct"/>
          </w:tcPr>
          <w:p w14:paraId="17953E9A" w14:textId="77777777" w:rsidR="00A2387A" w:rsidRPr="00A2387A" w:rsidRDefault="00A2387A" w:rsidP="00A2387A">
            <w:pPr>
              <w:pStyle w:val="Tableparagraph"/>
            </w:pPr>
            <w:r w:rsidRPr="00A2387A">
              <w:t>Interview date</w:t>
            </w:r>
          </w:p>
        </w:tc>
        <w:tc>
          <w:tcPr>
            <w:tcW w:w="2500" w:type="pct"/>
          </w:tcPr>
          <w:p w14:paraId="17953E9B" w14:textId="1B9FB9FF" w:rsidR="00A2387A" w:rsidRPr="004161F2" w:rsidRDefault="004161F2" w:rsidP="00A2387A">
            <w:pPr>
              <w:pStyle w:val="Tableparagraph"/>
            </w:pPr>
            <w:r w:rsidRPr="004161F2">
              <w:t>04-11 November 2020</w:t>
            </w:r>
          </w:p>
        </w:tc>
      </w:tr>
    </w:tbl>
    <w:p w14:paraId="6B5148FD" w14:textId="77777777" w:rsidR="004161F2" w:rsidRDefault="004161F2" w:rsidP="004161F2">
      <w:r>
        <w:t xml:space="preserve">Please note that during the Covid-19 pandemic interviews will be conducted via video conferencing software such as </w:t>
      </w:r>
      <w:proofErr w:type="spellStart"/>
      <w:r>
        <w:t>BlueJeans</w:t>
      </w:r>
      <w:proofErr w:type="spellEnd"/>
      <w:r>
        <w:t xml:space="preserve">, skype or Microsoft Teams. </w:t>
      </w:r>
    </w:p>
    <w:p w14:paraId="2869F33E" w14:textId="67C29484" w:rsidR="004161F2" w:rsidRDefault="004161F2" w:rsidP="004161F2">
      <w:r>
        <w:t xml:space="preserve">It is expected that the interview process for this vacancy will include a short presentation and/or assessment as detailed in the above candidate pack. Further details will be provided to shortlisted candidates upon invitation to interview. </w:t>
      </w:r>
    </w:p>
    <w:p w14:paraId="03A56991" w14:textId="77777777" w:rsidR="004161F2" w:rsidRDefault="004161F2" w:rsidP="004161F2">
      <w:r w:rsidRPr="00F5433C">
        <w:t>If you have any queries about any</w:t>
      </w:r>
      <w:bookmarkStart w:id="3" w:name="_GoBack"/>
      <w:bookmarkEnd w:id="3"/>
      <w:r w:rsidRPr="00F5433C">
        <w:t xml:space="preserve"> aspect of this </w:t>
      </w:r>
      <w:r>
        <w:t>role, selection process</w:t>
      </w:r>
      <w:r w:rsidRPr="00F5433C">
        <w:t xml:space="preserve">, </w:t>
      </w:r>
      <w:r>
        <w:t xml:space="preserve">or you require any reasonable adjustments </w:t>
      </w:r>
      <w:r w:rsidRPr="00F5433C">
        <w:t xml:space="preserve">please </w:t>
      </w:r>
      <w:r>
        <w:t>email recruitment@ofwat.gov.uk</w:t>
      </w:r>
    </w:p>
    <w:p w14:paraId="17953E9E" w14:textId="77777777" w:rsidR="00A2387A" w:rsidRPr="00C463E7" w:rsidRDefault="00A2387A" w:rsidP="00A2387A">
      <w:pPr>
        <w:pStyle w:val="Heading2"/>
      </w:pPr>
      <w:r w:rsidRPr="00C463E7">
        <w:t>Expenses</w:t>
      </w:r>
    </w:p>
    <w:p w14:paraId="17953E9F" w14:textId="77777777" w:rsidR="00A2387A" w:rsidRPr="00F5433C" w:rsidRDefault="00A2387A" w:rsidP="00A2387A">
      <w:r>
        <w:t>We will refund t</w:t>
      </w:r>
      <w:r w:rsidRPr="00F5433C">
        <w:t>ravelling costs at the rate of standard rail fare for the journey or</w:t>
      </w:r>
      <w:r>
        <w:t xml:space="preserve"> motor mileage rates (c</w:t>
      </w:r>
      <w:r w:rsidRPr="00F5433C">
        <w:t>ars:</w:t>
      </w:r>
      <w:r>
        <w:t xml:space="preserve"> 25p per mile).</w:t>
      </w:r>
    </w:p>
    <w:p w14:paraId="17953EA0" w14:textId="77777777" w:rsidR="00A2387A" w:rsidRDefault="00A2387A" w:rsidP="00A2387A">
      <w:pPr>
        <w:spacing w:line="278" w:lineRule="auto"/>
      </w:pPr>
      <w:r w:rsidRPr="00F5433C">
        <w:t>Please note that proof of purchase will be required for all public transport expenses.</w:t>
      </w:r>
    </w:p>
    <w:p w14:paraId="17953EA1" w14:textId="77777777" w:rsidR="00A2387A" w:rsidRPr="002B5669" w:rsidRDefault="00A2387A" w:rsidP="00A2387A">
      <w:pPr>
        <w:spacing w:line="278" w:lineRule="auto"/>
      </w:pPr>
      <w:r>
        <w:lastRenderedPageBreak/>
        <w:t>We cannot refund e</w:t>
      </w:r>
      <w:r w:rsidRPr="00F5433C">
        <w:t>xpenses for travel into the UK.</w:t>
      </w:r>
      <w:r>
        <w:t xml:space="preserve"> </w:t>
      </w:r>
      <w:r w:rsidRPr="00F5433C">
        <w:t>If you have to stay overnight</w:t>
      </w:r>
      <w:r>
        <w:t>,</w:t>
      </w:r>
      <w:r w:rsidRPr="00F5433C">
        <w:t xml:space="preserve"> please contact </w:t>
      </w:r>
      <w:hyperlink r:id="rId22" w:history="1">
        <w:r w:rsidR="00117CA3" w:rsidRPr="00E87939">
          <w:rPr>
            <w:rStyle w:val="Hyperlink"/>
          </w:rPr>
          <w:t>recruitment@ofwat.gov.uk</w:t>
        </w:r>
      </w:hyperlink>
      <w:r>
        <w:t xml:space="preserve"> for further details.</w:t>
      </w:r>
    </w:p>
    <w:p w14:paraId="17953EA2" w14:textId="77777777" w:rsidR="00A2387A" w:rsidRDefault="00A2387A" w:rsidP="00A2387A">
      <w:pPr>
        <w:pStyle w:val="Heading2"/>
      </w:pPr>
      <w:r w:rsidRPr="00C463E7">
        <w:t>Data protection</w:t>
      </w:r>
    </w:p>
    <w:p w14:paraId="3279A312" w14:textId="77777777" w:rsidR="00AB1169" w:rsidRPr="00F5433C" w:rsidRDefault="00AB1169" w:rsidP="00AB1169">
      <w:r>
        <w:t>We will use y</w:t>
      </w:r>
      <w:r w:rsidRPr="00F5433C">
        <w:t>our application only to inform the selection process</w:t>
      </w:r>
      <w:r>
        <w:t xml:space="preserve">. If you are </w:t>
      </w:r>
      <w:r w:rsidRPr="00F5433C">
        <w:t xml:space="preserve">successful it will form the basis of your personal </w:t>
      </w:r>
      <w:r>
        <w:t xml:space="preserve">employee </w:t>
      </w:r>
      <w:r w:rsidRPr="00F5433C">
        <w:t xml:space="preserve">record with us and </w:t>
      </w:r>
      <w:r>
        <w:t xml:space="preserve">we </w:t>
      </w:r>
      <w:r w:rsidRPr="00F5433C">
        <w:t>will store</w:t>
      </w:r>
      <w:r>
        <w:t xml:space="preserve"> it</w:t>
      </w:r>
      <w:r w:rsidRPr="00F5433C">
        <w:t xml:space="preserve"> electronic</w:t>
      </w:r>
      <w:r>
        <w:t xml:space="preserve">ally within our SharePoint Electronic Document Management System (EDRMS) and our HR system </w:t>
      </w:r>
      <w:proofErr w:type="spellStart"/>
      <w:r>
        <w:t>iTrent</w:t>
      </w:r>
      <w:proofErr w:type="spellEnd"/>
      <w:r>
        <w:t xml:space="preserve">. Unsuccessful applications are not retained and will be destroyed using </w:t>
      </w:r>
      <w:proofErr w:type="spellStart"/>
      <w:r>
        <w:t>Ofwat’s</w:t>
      </w:r>
      <w:proofErr w:type="spellEnd"/>
      <w:r>
        <w:t xml:space="preserve"> secure disposal methods. If you have indicated that you would like Ofwat to retain your information for future similar employment opportunities we will retain this information. If at any point you decide you do not wish Ofwat to retain your information for these purposes please contact us and we will ensure your information is removed from our systems, unless we are legally obliged to hold it for a further period.</w:t>
      </w:r>
    </w:p>
    <w:p w14:paraId="7F71CA6B" w14:textId="77777777" w:rsidR="00AB1169" w:rsidRPr="00F5433C" w:rsidRDefault="00AB1169" w:rsidP="00AB1169">
      <w:r>
        <w:t>We will hold a</w:t>
      </w:r>
      <w:r w:rsidRPr="00F5433C">
        <w:t>ny data about you in completely secure conditions</w:t>
      </w:r>
      <w:r>
        <w:t xml:space="preserve"> and </w:t>
      </w:r>
      <w:r w:rsidRPr="00F5433C">
        <w:t>with restricted access.</w:t>
      </w:r>
      <w:r>
        <w:t xml:space="preserve"> </w:t>
      </w:r>
      <w:r w:rsidRPr="00F5433C">
        <w:t xml:space="preserve">Information in statistical form on present and former employees </w:t>
      </w:r>
      <w:r>
        <w:t xml:space="preserve">in some instances is provided </w:t>
      </w:r>
      <w:r w:rsidRPr="00F5433C">
        <w:t>to appropriate outside bodies.</w:t>
      </w:r>
      <w:r>
        <w:t xml:space="preserve"> Wherever possible Ofwat ensures that statistical information is anonymised. </w:t>
      </w:r>
    </w:p>
    <w:p w14:paraId="4B6F65C1" w14:textId="77777777" w:rsidR="00AB1169" w:rsidRPr="00F5433C" w:rsidRDefault="00AB1169" w:rsidP="00AB1169">
      <w:r>
        <w:t>We will include d</w:t>
      </w:r>
      <w:r w:rsidRPr="00F5433C">
        <w:t>ata that you provide on the diversity monitoring form in a general database for statistical monitoring purposes only</w:t>
      </w:r>
      <w:r>
        <w:t xml:space="preserve">. This enables us </w:t>
      </w:r>
      <w:r w:rsidRPr="00F5433C">
        <w:t>to monitor the effectiveness of our policy on equal opportunities in employment.</w:t>
      </w:r>
      <w:r>
        <w:t xml:space="preserve"> </w:t>
      </w:r>
    </w:p>
    <w:p w14:paraId="062EF47E" w14:textId="0BB45B1D" w:rsidR="00AB1169" w:rsidRPr="00AB1169" w:rsidRDefault="00AB1169" w:rsidP="00AB1169">
      <w:r>
        <w:t xml:space="preserve">Ofwat processes all the personal data you have provided during your application as set out in </w:t>
      </w:r>
      <w:proofErr w:type="spellStart"/>
      <w:r>
        <w:t>Ofwat’s</w:t>
      </w:r>
      <w:proofErr w:type="spellEnd"/>
      <w:r>
        <w:t xml:space="preserve"> privacy policy</w:t>
      </w:r>
      <w:r w:rsidRPr="004A10B9">
        <w:t xml:space="preserve"> </w:t>
      </w:r>
      <w:r>
        <w:t xml:space="preserve">which is available here: </w:t>
      </w:r>
      <w:hyperlink r:id="rId23">
        <w:r w:rsidRPr="03921127">
          <w:rPr>
            <w:rStyle w:val="Hyperlink"/>
          </w:rPr>
          <w:t>https://www.ofwat.gov.uk/publication/privacy-policy/</w:t>
        </w:r>
      </w:hyperlink>
      <w:r>
        <w:t xml:space="preserve">. If you have any concerns regarding the processing of some or all of your data please inform the People Hub in writing to </w:t>
      </w:r>
      <w:hyperlink r:id="rId24" w:history="1">
        <w:r w:rsidRPr="006B5CA8">
          <w:rPr>
            <w:rStyle w:val="Hyperlink"/>
          </w:rPr>
          <w:t>people@ofwat.gsi.gov.uk</w:t>
        </w:r>
      </w:hyperlink>
      <w:r>
        <w:t xml:space="preserve"> and/or the Data Protection Officer by emailing </w:t>
      </w:r>
      <w:hyperlink r:id="rId25" w:history="1">
        <w:r w:rsidRPr="0060658E">
          <w:rPr>
            <w:rStyle w:val="Hyperlink"/>
          </w:rPr>
          <w:t>FOI@ofwat.gsi.gov.uk</w:t>
        </w:r>
      </w:hyperlink>
      <w:r>
        <w:t xml:space="preserve">. </w:t>
      </w:r>
    </w:p>
    <w:p w14:paraId="17953EA7" w14:textId="77777777" w:rsidR="00A2387A" w:rsidRPr="00C463E7" w:rsidRDefault="00A2387A" w:rsidP="00A2387A">
      <w:pPr>
        <w:pStyle w:val="Heading2"/>
      </w:pPr>
      <w:r w:rsidRPr="00C463E7">
        <w:t>Diversity</w:t>
      </w:r>
    </w:p>
    <w:p w14:paraId="17953EA8" w14:textId="77777777" w:rsidR="00A2387A" w:rsidRDefault="00A2387A" w:rsidP="00A2387A">
      <w:r w:rsidRPr="00F5433C">
        <w:t xml:space="preserve">Ofwat aims to be an equal opportunities employer. </w:t>
      </w:r>
      <w:r>
        <w:t>We</w:t>
      </w:r>
      <w:r w:rsidRPr="00F5433C">
        <w:t xml:space="preserve"> intend to make sure that there is equality of opportu</w:t>
      </w:r>
      <w:r>
        <w:t>nity and fair treatment for all irrespective of:</w:t>
      </w:r>
    </w:p>
    <w:p w14:paraId="17953EA9" w14:textId="77777777" w:rsidR="00A2387A" w:rsidRPr="00A2387A" w:rsidRDefault="00A2387A" w:rsidP="00A2387A">
      <w:pPr>
        <w:pStyle w:val="ListParagraph"/>
      </w:pPr>
      <w:r w:rsidRPr="00A2387A">
        <w:t>age;</w:t>
      </w:r>
    </w:p>
    <w:p w14:paraId="17953EAA" w14:textId="77777777" w:rsidR="00A2387A" w:rsidRPr="00A2387A" w:rsidRDefault="00A2387A" w:rsidP="00A2387A">
      <w:pPr>
        <w:pStyle w:val="ListParagraph"/>
      </w:pPr>
      <w:r w:rsidRPr="00A2387A">
        <w:t>disability;</w:t>
      </w:r>
    </w:p>
    <w:p w14:paraId="17953EAB" w14:textId="77777777" w:rsidR="00A2387A" w:rsidRPr="00A2387A" w:rsidRDefault="00A2387A" w:rsidP="00A2387A">
      <w:pPr>
        <w:pStyle w:val="ListParagraph"/>
      </w:pPr>
      <w:r w:rsidRPr="00A2387A">
        <w:t>gender reassignment;</w:t>
      </w:r>
    </w:p>
    <w:p w14:paraId="17953EAC" w14:textId="77777777" w:rsidR="00A2387A" w:rsidRPr="00A2387A" w:rsidRDefault="00A2387A" w:rsidP="00A2387A">
      <w:pPr>
        <w:pStyle w:val="ListParagraph"/>
      </w:pPr>
      <w:r w:rsidRPr="00A2387A">
        <w:lastRenderedPageBreak/>
        <w:t>marriage and civil partnership status;</w:t>
      </w:r>
    </w:p>
    <w:p w14:paraId="17953EAD" w14:textId="77777777" w:rsidR="00A2387A" w:rsidRPr="00A2387A" w:rsidRDefault="00A2387A" w:rsidP="00A2387A">
      <w:pPr>
        <w:pStyle w:val="ListParagraph"/>
      </w:pPr>
      <w:r w:rsidRPr="00A2387A">
        <w:t>pregnancy and maternity;</w:t>
      </w:r>
    </w:p>
    <w:p w14:paraId="17953EAE" w14:textId="77777777" w:rsidR="00A2387A" w:rsidRPr="00A2387A" w:rsidRDefault="00A2387A" w:rsidP="00A2387A">
      <w:pPr>
        <w:pStyle w:val="ListParagraph"/>
      </w:pPr>
      <w:r w:rsidRPr="00A2387A">
        <w:t>race, religion or belief; or</w:t>
      </w:r>
    </w:p>
    <w:p w14:paraId="17953EAF" w14:textId="77777777" w:rsidR="00A2387A" w:rsidRPr="00A2387A" w:rsidRDefault="00A2387A" w:rsidP="00A2387A">
      <w:pPr>
        <w:pStyle w:val="ListParagraph"/>
      </w:pPr>
      <w:proofErr w:type="gramStart"/>
      <w:r w:rsidRPr="00A2387A">
        <w:t>sex</w:t>
      </w:r>
      <w:proofErr w:type="gramEnd"/>
      <w:r w:rsidRPr="00A2387A">
        <w:t xml:space="preserve"> or sexual orientation.</w:t>
      </w:r>
    </w:p>
    <w:p w14:paraId="17953EB0" w14:textId="77777777" w:rsidR="00A2387A" w:rsidRDefault="00A2387A" w:rsidP="00A2387A">
      <w:r w:rsidRPr="00F5433C">
        <w:t xml:space="preserve">We would like to assure you that </w:t>
      </w:r>
      <w:r>
        <w:t xml:space="preserve">we will treat </w:t>
      </w:r>
      <w:r w:rsidRPr="00F5433C">
        <w:t xml:space="preserve">the information you provide on the </w:t>
      </w:r>
      <w:r>
        <w:t>diversity</w:t>
      </w:r>
      <w:r w:rsidRPr="00F5433C">
        <w:t xml:space="preserve"> monitoring form in the strictest confidence and only use</w:t>
      </w:r>
      <w:r>
        <w:t xml:space="preserve"> it</w:t>
      </w:r>
      <w:r w:rsidRPr="00F5433C">
        <w:t xml:space="preserve"> to help us monitor appropriat</w:t>
      </w:r>
      <w:r>
        <w:t>e equal opportunities policies.</w:t>
      </w:r>
      <w:r w:rsidRPr="00F5433C">
        <w:t xml:space="preserve"> This information plays no</w:t>
      </w:r>
      <w:r>
        <w:t xml:space="preserve"> part in our selection process.</w:t>
      </w:r>
    </w:p>
    <w:p w14:paraId="17953EB1" w14:textId="77777777" w:rsidR="00A2387A" w:rsidRPr="00C463E7" w:rsidRDefault="00A2387A" w:rsidP="00A2387A">
      <w:pPr>
        <w:pStyle w:val="Heading2"/>
      </w:pPr>
      <w:r w:rsidRPr="00C463E7">
        <w:t>Investors in People (IIP)</w:t>
      </w:r>
    </w:p>
    <w:p w14:paraId="17953EB2" w14:textId="77777777" w:rsidR="00A2387A" w:rsidRPr="00F5433C" w:rsidRDefault="00A2387A" w:rsidP="00A2387A">
      <w:r w:rsidRPr="00F5433C">
        <w:t>Ofwat has IIP accreditation</w:t>
      </w:r>
      <w:r>
        <w:t xml:space="preserve"> which reflects good management practices throughout our </w:t>
      </w:r>
      <w:r w:rsidRPr="00C463E7">
        <w:t>organisation</w:t>
      </w:r>
      <w:r>
        <w:t xml:space="preserve">, </w:t>
      </w:r>
      <w:r w:rsidRPr="00C463E7">
        <w:t xml:space="preserve">including </w:t>
      </w:r>
      <w:r>
        <w:t xml:space="preserve">in </w:t>
      </w:r>
      <w:r w:rsidRPr="00FF147E">
        <w:t xml:space="preserve">business </w:t>
      </w:r>
      <w:r w:rsidRPr="00C463E7">
        <w:t>planning, individual objective setting, learning and</w:t>
      </w:r>
      <w:r>
        <w:t xml:space="preserve"> development opportunities, as well as continuous constructive feedback</w:t>
      </w:r>
      <w:r w:rsidRPr="00F5433C">
        <w:t xml:space="preserve"> </w:t>
      </w:r>
      <w:r>
        <w:t>through our delivery and development conversations approach to performance management</w:t>
      </w:r>
      <w:r w:rsidRPr="00F5433C">
        <w:t>.</w:t>
      </w:r>
    </w:p>
    <w:p w14:paraId="17953EB3" w14:textId="77777777" w:rsidR="00A2387A" w:rsidRPr="00024A79" w:rsidRDefault="00A2387A" w:rsidP="00A2387A">
      <w:pPr>
        <w:pStyle w:val="Heading2"/>
      </w:pPr>
      <w:r w:rsidRPr="00024A79">
        <w:t>Complaints procedure</w:t>
      </w:r>
    </w:p>
    <w:p w14:paraId="17953EB4" w14:textId="77777777" w:rsidR="00A2387A" w:rsidRDefault="00A2387A" w:rsidP="00A2387A">
      <w:r w:rsidRPr="00F5433C">
        <w:t>The process of recruitment and assessment embraces the principles of fair and open competition and best practice. The first is to maintain the principle of selection for appointment to the Civil Service on merit on the basis</w:t>
      </w:r>
      <w:r>
        <w:t xml:space="preserve"> of fair and open competition </w:t>
      </w:r>
      <w:r w:rsidRPr="00F5433C">
        <w:t>as outlined in</w:t>
      </w:r>
      <w:r w:rsidR="00497E5C">
        <w:t xml:space="preserve"> the</w:t>
      </w:r>
      <w:r w:rsidR="006636B5">
        <w:t xml:space="preserve"> </w:t>
      </w:r>
      <w:hyperlink r:id="rId26" w:history="1">
        <w:r w:rsidR="006636B5" w:rsidRPr="006636B5">
          <w:rPr>
            <w:rStyle w:val="Hyperlink"/>
          </w:rPr>
          <w:t>Civil Service Recruitment Principles</w:t>
        </w:r>
      </w:hyperlink>
      <w:r>
        <w:t xml:space="preserve">. </w:t>
      </w:r>
      <w:r w:rsidRPr="00F5433C">
        <w:t xml:space="preserve">The second is to promote an understanding of the </w:t>
      </w:r>
      <w:hyperlink r:id="rId27" w:history="1">
        <w:r w:rsidRPr="00B06CE6">
          <w:rPr>
            <w:rStyle w:val="Hyperlink"/>
          </w:rPr>
          <w:t>Civil Service Code</w:t>
        </w:r>
      </w:hyperlink>
      <w:r>
        <w:rPr>
          <w:rStyle w:val="Hyperlink"/>
        </w:rPr>
        <w:t xml:space="preserve"> </w:t>
      </w:r>
      <w:r w:rsidRPr="00F5433C">
        <w:t>which sets out the constitutional framework in which all civil servants work and the values they are expected to uphold, and to hear and d</w:t>
      </w:r>
      <w:r>
        <w:t>etermine appeals made under it.</w:t>
      </w:r>
    </w:p>
    <w:p w14:paraId="17953EB5" w14:textId="72EFBE1A" w:rsidR="0074103F" w:rsidRPr="0074103F" w:rsidRDefault="00A2387A" w:rsidP="0055708F">
      <w:r>
        <w:t>If</w:t>
      </w:r>
      <w:r w:rsidRPr="00F5433C">
        <w:t xml:space="preserve"> </w:t>
      </w:r>
      <w:r w:rsidR="00F6438E">
        <w:t xml:space="preserve">you </w:t>
      </w:r>
      <w:r w:rsidRPr="00F5433C">
        <w:t xml:space="preserve">feel your application has not been treated in accordance with the </w:t>
      </w:r>
      <w:r>
        <w:t>recruitment principles</w:t>
      </w:r>
      <w:r w:rsidRPr="00F5433C">
        <w:t xml:space="preserve"> and you wish to make a complaint, you should contact </w:t>
      </w:r>
      <w:r w:rsidR="00520CC2">
        <w:t>Sarah Lal</w:t>
      </w:r>
      <w:r w:rsidRPr="00F5433C">
        <w:t>,</w:t>
      </w:r>
      <w:r w:rsidR="00520CC2">
        <w:t xml:space="preserve"> Head of HR</w:t>
      </w:r>
      <w:r>
        <w:t>, Operations (People)</w:t>
      </w:r>
      <w:r w:rsidRPr="00F5433C">
        <w:t>, Ofwat, Centre City Tower, 7</w:t>
      </w:r>
      <w:r>
        <w:t xml:space="preserve"> </w:t>
      </w:r>
      <w:r w:rsidRPr="00F5433C">
        <w:t>Hill Street, Birmingham</w:t>
      </w:r>
      <w:r>
        <w:t>,</w:t>
      </w:r>
      <w:r w:rsidRPr="00F5433C">
        <w:t xml:space="preserve"> B5 4UA in the first instance.</w:t>
      </w:r>
      <w:r>
        <w:t xml:space="preserve"> </w:t>
      </w:r>
      <w:r w:rsidRPr="00F5433C">
        <w:t>If you are not satisfied with the response you receive from us you can contact the Civil Service Commission</w:t>
      </w:r>
      <w:r w:rsidR="00112B01">
        <w:t xml:space="preserve"> at </w:t>
      </w:r>
      <w:hyperlink r:id="rId28" w:history="1">
        <w:r w:rsidR="00117CA3" w:rsidRPr="00E87939">
          <w:rPr>
            <w:rStyle w:val="Hyperlink"/>
          </w:rPr>
          <w:t>info@csc.gov.uk</w:t>
        </w:r>
      </w:hyperlink>
      <w:r w:rsidR="00112B01">
        <w:rPr>
          <w:rStyle w:val="Hyperlink"/>
        </w:rPr>
        <w:t>.</w:t>
      </w:r>
    </w:p>
    <w:sectPr w:rsidR="0074103F" w:rsidRPr="0074103F" w:rsidSect="0055708F">
      <w:headerReference w:type="default" r:id="rId29"/>
      <w:footerReference w:type="default" r:id="rId30"/>
      <w:headerReference w:type="first" r:id="rId31"/>
      <w:pgSz w:w="11906" w:h="16838"/>
      <w:pgMar w:top="1440" w:right="1440" w:bottom="1440" w:left="1440" w:header="70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AB1B3" w14:textId="77777777" w:rsidR="00C90DF9" w:rsidRDefault="00C90DF9" w:rsidP="001904CA">
      <w:pPr>
        <w:spacing w:before="0" w:after="0" w:line="240" w:lineRule="auto"/>
      </w:pPr>
      <w:r>
        <w:separator/>
      </w:r>
    </w:p>
    <w:p w14:paraId="4FC022C7" w14:textId="77777777" w:rsidR="00C90DF9" w:rsidRDefault="00C90DF9"/>
  </w:endnote>
  <w:endnote w:type="continuationSeparator" w:id="0">
    <w:p w14:paraId="23DB5A5A" w14:textId="77777777" w:rsidR="00C90DF9" w:rsidRDefault="00C90DF9" w:rsidP="001904CA">
      <w:pPr>
        <w:spacing w:before="0" w:after="0" w:line="240" w:lineRule="auto"/>
      </w:pPr>
      <w:r>
        <w:continuationSeparator/>
      </w:r>
    </w:p>
    <w:p w14:paraId="3126058A" w14:textId="77777777" w:rsidR="00C90DF9" w:rsidRDefault="00C90D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3EC7" w14:textId="77777777" w:rsidR="005D459B" w:rsidRPr="00627514" w:rsidRDefault="005D459B" w:rsidP="00627514">
    <w:pPr>
      <w:pStyle w:val="Footer"/>
    </w:pPr>
    <w:r w:rsidRPr="00627514">
      <w:fldChar w:fldCharType="begin"/>
    </w:r>
    <w:r w:rsidRPr="00627514">
      <w:instrText xml:space="preserve"> PAGE   \* MERGEFORMAT </w:instrText>
    </w:r>
    <w:r w:rsidRPr="00627514">
      <w:fldChar w:fldCharType="separate"/>
    </w:r>
    <w:r w:rsidR="00FB48CE">
      <w:rPr>
        <w:noProof/>
      </w:rPr>
      <w:t>5</w:t>
    </w:r>
    <w:r w:rsidRPr="00627514">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DB9BF0" w14:textId="77777777" w:rsidR="00C90DF9" w:rsidRDefault="00C90DF9" w:rsidP="001904CA">
      <w:pPr>
        <w:spacing w:before="0" w:after="0" w:line="240" w:lineRule="auto"/>
      </w:pPr>
      <w:r>
        <w:separator/>
      </w:r>
    </w:p>
    <w:p w14:paraId="4EFA27AB" w14:textId="77777777" w:rsidR="00C90DF9" w:rsidRDefault="00C90DF9"/>
  </w:footnote>
  <w:footnote w:type="continuationSeparator" w:id="0">
    <w:p w14:paraId="7A240E37" w14:textId="77777777" w:rsidR="00C90DF9" w:rsidRDefault="00C90DF9" w:rsidP="001904CA">
      <w:pPr>
        <w:spacing w:before="0" w:after="0" w:line="240" w:lineRule="auto"/>
      </w:pPr>
      <w:r>
        <w:continuationSeparator/>
      </w:r>
    </w:p>
    <w:p w14:paraId="5442487E" w14:textId="77777777" w:rsidR="00C90DF9" w:rsidRDefault="00C90D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3EC6" w14:textId="77777777" w:rsidR="0055708F" w:rsidRDefault="0055708F" w:rsidP="0055708F">
    <w:pPr>
      <w:pStyle w:val="Header"/>
    </w:pPr>
    <w:r>
      <w:t>Information for applicants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53EC8" w14:textId="77777777" w:rsidR="0055708F" w:rsidRPr="0055708F" w:rsidRDefault="0055708F" w:rsidP="0055708F">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35D"/>
    <w:multiLevelType w:val="hybridMultilevel"/>
    <w:tmpl w:val="84B0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F3D2B"/>
    <w:multiLevelType w:val="hybridMultilevel"/>
    <w:tmpl w:val="EF9CE2B8"/>
    <w:lvl w:ilvl="0" w:tplc="6186B846">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EAF4F90"/>
    <w:multiLevelType w:val="hybridMultilevel"/>
    <w:tmpl w:val="FC12C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B2535"/>
    <w:multiLevelType w:val="hybridMultilevel"/>
    <w:tmpl w:val="31446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5A2B5A"/>
    <w:multiLevelType w:val="multilevel"/>
    <w:tmpl w:val="428A078A"/>
    <w:lvl w:ilvl="0">
      <w:start w:val="1"/>
      <w:numFmt w:val="decimal"/>
      <w:pStyle w:val="NumberedAppendixHeading1"/>
      <w:lvlText w:val="A%1"/>
      <w:lvlJc w:val="left"/>
      <w:pPr>
        <w:ind w:left="357" w:hanging="357"/>
      </w:pPr>
      <w:rPr>
        <w:rFonts w:hint="default"/>
      </w:rPr>
    </w:lvl>
    <w:lvl w:ilvl="1">
      <w:start w:val="1"/>
      <w:numFmt w:val="decimal"/>
      <w:lvlText w:val="A%1.%2"/>
      <w:lvlJc w:val="left"/>
      <w:pPr>
        <w:ind w:left="1134" w:hanging="1134"/>
      </w:pPr>
      <w:rPr>
        <w:rFonts w:hint="default"/>
      </w:rPr>
    </w:lvl>
    <w:lvl w:ilvl="2">
      <w:start w:val="1"/>
      <w:numFmt w:val="decimal"/>
      <w:lvlText w:val="A%1.%2.%3"/>
      <w:lvlJc w:val="left"/>
      <w:pPr>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5" w15:restartNumberingAfterBreak="0">
    <w:nsid w:val="5F6F7A4C"/>
    <w:multiLevelType w:val="hybridMultilevel"/>
    <w:tmpl w:val="3B6AB7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332B46"/>
    <w:multiLevelType w:val="hybridMultilevel"/>
    <w:tmpl w:val="7B3668A8"/>
    <w:lvl w:ilvl="0" w:tplc="170C6D3E">
      <w:numFmt w:val="bullet"/>
      <w:lvlText w:val="•"/>
      <w:lvlJc w:val="left"/>
      <w:pPr>
        <w:ind w:left="840" w:hanging="48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740A4E"/>
    <w:multiLevelType w:val="multilevel"/>
    <w:tmpl w:val="28EC69CE"/>
    <w:lvl w:ilvl="0">
      <w:start w:val="1"/>
      <w:numFmt w:val="decimal"/>
      <w:pStyle w:val="ListNumber3"/>
      <w:lvlText w:val="%1."/>
      <w:lvlJc w:val="left"/>
      <w:pPr>
        <w:tabs>
          <w:tab w:val="num" w:pos="360"/>
        </w:tabs>
        <w:ind w:left="0" w:firstLine="0"/>
      </w:pPr>
    </w:lvl>
    <w:lvl w:ilvl="1">
      <w:start w:val="1"/>
      <w:numFmt w:val="lowerLetter"/>
      <w:pStyle w:val="ListNumber"/>
      <w:lvlText w:val="(%2)"/>
      <w:lvlJc w:val="left"/>
      <w:pPr>
        <w:tabs>
          <w:tab w:val="num" w:pos="720"/>
        </w:tabs>
        <w:ind w:left="720" w:hanging="720"/>
      </w:pPr>
    </w:lvl>
    <w:lvl w:ilvl="2">
      <w:start w:val="1"/>
      <w:numFmt w:val="lowerRoman"/>
      <w:pStyle w:val="ListNumber2"/>
      <w:lvlText w:val="(%3)"/>
      <w:lvlJc w:val="left"/>
      <w:pPr>
        <w:tabs>
          <w:tab w:val="num" w:pos="1429"/>
        </w:tabs>
        <w:ind w:left="1429" w:hanging="709"/>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768F200E"/>
    <w:multiLevelType w:val="multilevel"/>
    <w:tmpl w:val="D1E0044A"/>
    <w:lvl w:ilvl="0">
      <w:start w:val="1"/>
      <w:numFmt w:val="decimal"/>
      <w:lvlText w:val="%1."/>
      <w:lvlJc w:val="left"/>
      <w:pPr>
        <w:ind w:left="720" w:hanging="720"/>
      </w:pPr>
      <w:rPr>
        <w:rFonts w:ascii="Franklin Gothic Demi" w:hAnsi="Franklin Gothic Demi" w:hint="default"/>
        <w:b w:val="0"/>
        <w:i w:val="0"/>
        <w:caps w:val="0"/>
        <w:strike w:val="0"/>
        <w:dstrike w:val="0"/>
        <w:vanish w:val="0"/>
        <w:color w:val="003479"/>
        <w:sz w:val="36"/>
        <w:u w:val="none"/>
        <w:vertAlign w:val="baseline"/>
      </w:rPr>
    </w:lvl>
    <w:lvl w:ilvl="1">
      <w:start w:val="1"/>
      <w:numFmt w:val="decimal"/>
      <w:lvlText w:val="%1.%2"/>
      <w:lvlJc w:val="left"/>
      <w:pPr>
        <w:ind w:left="856" w:hanging="85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6" w:hanging="856"/>
      </w:pPr>
    </w:lvl>
    <w:lvl w:ilvl="3">
      <w:start w:val="1"/>
      <w:numFmt w:val="decimal"/>
      <w:pStyle w:val="Heading4"/>
      <w:lvlText w:val=""/>
      <w:lvlJc w:val="left"/>
      <w:pPr>
        <w:ind w:left="0" w:firstLine="0"/>
      </w:pPr>
    </w:lvl>
    <w:lvl w:ilvl="4">
      <w:start w:val="1"/>
      <w:numFmt w:val="decimal"/>
      <w:pStyle w:val="Heading5"/>
      <w:lvlText w:val=""/>
      <w:lvlJc w:val="left"/>
      <w:pPr>
        <w:ind w:left="0" w:firstLine="0"/>
      </w:pPr>
    </w:lvl>
    <w:lvl w:ilvl="5">
      <w:start w:val="1"/>
      <w:numFmt w:val="decimal"/>
      <w:lvlText w:val="%1.%2.%3.%4.%5.%6"/>
      <w:lvlJc w:val="left"/>
      <w:pPr>
        <w:ind w:left="720" w:hanging="720"/>
      </w:pPr>
    </w:lvl>
    <w:lvl w:ilvl="6">
      <w:start w:val="1"/>
      <w:numFmt w:val="decimal"/>
      <w:lvlText w:val="%1.%2.%3.%4.%5.%6.%7"/>
      <w:lvlJc w:val="left"/>
      <w:pPr>
        <w:ind w:left="720" w:hanging="720"/>
      </w:pPr>
    </w:lvl>
    <w:lvl w:ilvl="7">
      <w:start w:val="1"/>
      <w:numFmt w:val="decimal"/>
      <w:lvlText w:val="%1.%2.%3.%4.%5.%6.%7.%8"/>
      <w:lvlJc w:val="left"/>
      <w:pPr>
        <w:ind w:left="720" w:hanging="720"/>
      </w:pPr>
    </w:lvl>
    <w:lvl w:ilvl="8">
      <w:start w:val="1"/>
      <w:numFmt w:val="decimal"/>
      <w:lvlText w:val="%1.%2.%3.%4.%5.%6.%7.%8.%9"/>
      <w:lvlJc w:val="left"/>
      <w:pPr>
        <w:ind w:left="720" w:hanging="720"/>
      </w:pPr>
    </w:lvl>
  </w:abstractNum>
  <w:abstractNum w:abstractNumId="9" w15:restartNumberingAfterBreak="0">
    <w:nsid w:val="7FEB3D03"/>
    <w:multiLevelType w:val="hybridMultilevel"/>
    <w:tmpl w:val="2974CC2C"/>
    <w:lvl w:ilvl="0" w:tplc="2B3C1936">
      <w:start w:val="1"/>
      <w:numFmt w:val="bullet"/>
      <w:pStyle w:val="ListParagraph"/>
      <w:lvlText w:val=""/>
      <w:lvlJc w:val="left"/>
      <w:pPr>
        <w:ind w:left="36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4"/>
  </w:num>
  <w:num w:numId="4">
    <w:abstractNumId w:val="8"/>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3"/>
  </w:num>
  <w:num w:numId="10">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E4"/>
    <w:rsid w:val="000129E3"/>
    <w:rsid w:val="00012F57"/>
    <w:rsid w:val="00017A04"/>
    <w:rsid w:val="00035908"/>
    <w:rsid w:val="00044BD9"/>
    <w:rsid w:val="00046E95"/>
    <w:rsid w:val="00087C04"/>
    <w:rsid w:val="00092279"/>
    <w:rsid w:val="000A41CF"/>
    <w:rsid w:val="000B3D56"/>
    <w:rsid w:val="000D46A2"/>
    <w:rsid w:val="000F3B81"/>
    <w:rsid w:val="000F529C"/>
    <w:rsid w:val="000F7DFA"/>
    <w:rsid w:val="00105F89"/>
    <w:rsid w:val="0010782C"/>
    <w:rsid w:val="00112B01"/>
    <w:rsid w:val="00115231"/>
    <w:rsid w:val="00115B8E"/>
    <w:rsid w:val="00115C0B"/>
    <w:rsid w:val="00117CA3"/>
    <w:rsid w:val="00122D74"/>
    <w:rsid w:val="001250F0"/>
    <w:rsid w:val="00131EDB"/>
    <w:rsid w:val="00132779"/>
    <w:rsid w:val="00134A05"/>
    <w:rsid w:val="00134AF5"/>
    <w:rsid w:val="00141B83"/>
    <w:rsid w:val="00147ED5"/>
    <w:rsid w:val="00163125"/>
    <w:rsid w:val="00163786"/>
    <w:rsid w:val="00166BFF"/>
    <w:rsid w:val="0017010B"/>
    <w:rsid w:val="001704C9"/>
    <w:rsid w:val="00171594"/>
    <w:rsid w:val="00177203"/>
    <w:rsid w:val="00187F42"/>
    <w:rsid w:val="001904CA"/>
    <w:rsid w:val="00195023"/>
    <w:rsid w:val="001A5F41"/>
    <w:rsid w:val="001C3253"/>
    <w:rsid w:val="001C3765"/>
    <w:rsid w:val="001D6E96"/>
    <w:rsid w:val="001E36EB"/>
    <w:rsid w:val="001E79F1"/>
    <w:rsid w:val="001F7C50"/>
    <w:rsid w:val="00204ECA"/>
    <w:rsid w:val="002106CF"/>
    <w:rsid w:val="002154EE"/>
    <w:rsid w:val="002172E8"/>
    <w:rsid w:val="00232D51"/>
    <w:rsid w:val="00240B9E"/>
    <w:rsid w:val="00253E1E"/>
    <w:rsid w:val="00267F87"/>
    <w:rsid w:val="0028147D"/>
    <w:rsid w:val="00282DEC"/>
    <w:rsid w:val="00297D1D"/>
    <w:rsid w:val="002A7DCC"/>
    <w:rsid w:val="002A7FD7"/>
    <w:rsid w:val="002B45A4"/>
    <w:rsid w:val="002B5681"/>
    <w:rsid w:val="002C7C49"/>
    <w:rsid w:val="002C7DDD"/>
    <w:rsid w:val="002D5EE9"/>
    <w:rsid w:val="002E08A0"/>
    <w:rsid w:val="002E5255"/>
    <w:rsid w:val="0030255D"/>
    <w:rsid w:val="00303360"/>
    <w:rsid w:val="00316B76"/>
    <w:rsid w:val="003228AD"/>
    <w:rsid w:val="00347E98"/>
    <w:rsid w:val="003623E8"/>
    <w:rsid w:val="00365144"/>
    <w:rsid w:val="0036605A"/>
    <w:rsid w:val="00373BD5"/>
    <w:rsid w:val="00375579"/>
    <w:rsid w:val="00380085"/>
    <w:rsid w:val="003928AE"/>
    <w:rsid w:val="003930EE"/>
    <w:rsid w:val="003A770C"/>
    <w:rsid w:val="003C2427"/>
    <w:rsid w:val="003C29DE"/>
    <w:rsid w:val="003C6198"/>
    <w:rsid w:val="003E7EFD"/>
    <w:rsid w:val="003F27E3"/>
    <w:rsid w:val="00406108"/>
    <w:rsid w:val="004161F2"/>
    <w:rsid w:val="00426BC3"/>
    <w:rsid w:val="00431A34"/>
    <w:rsid w:val="00434AEE"/>
    <w:rsid w:val="00434E63"/>
    <w:rsid w:val="0046138B"/>
    <w:rsid w:val="00466AB3"/>
    <w:rsid w:val="00467AC3"/>
    <w:rsid w:val="004833BA"/>
    <w:rsid w:val="0049143F"/>
    <w:rsid w:val="00497E5C"/>
    <w:rsid w:val="004A5806"/>
    <w:rsid w:val="004B3D1D"/>
    <w:rsid w:val="004B4930"/>
    <w:rsid w:val="004B5210"/>
    <w:rsid w:val="004C2123"/>
    <w:rsid w:val="004D01F9"/>
    <w:rsid w:val="004E0CD4"/>
    <w:rsid w:val="004E23A5"/>
    <w:rsid w:val="004F7D45"/>
    <w:rsid w:val="00503708"/>
    <w:rsid w:val="00514BFC"/>
    <w:rsid w:val="005154C2"/>
    <w:rsid w:val="00520CC2"/>
    <w:rsid w:val="00525C02"/>
    <w:rsid w:val="00527980"/>
    <w:rsid w:val="005339F8"/>
    <w:rsid w:val="00547840"/>
    <w:rsid w:val="00553306"/>
    <w:rsid w:val="005566BD"/>
    <w:rsid w:val="0055708F"/>
    <w:rsid w:val="0057022F"/>
    <w:rsid w:val="00570F3C"/>
    <w:rsid w:val="0057161F"/>
    <w:rsid w:val="00571BA5"/>
    <w:rsid w:val="005726B9"/>
    <w:rsid w:val="0058607E"/>
    <w:rsid w:val="00587060"/>
    <w:rsid w:val="005A407D"/>
    <w:rsid w:val="005A4984"/>
    <w:rsid w:val="005A7D57"/>
    <w:rsid w:val="005C024F"/>
    <w:rsid w:val="005C7A96"/>
    <w:rsid w:val="005C7AB6"/>
    <w:rsid w:val="005D459B"/>
    <w:rsid w:val="005D68C4"/>
    <w:rsid w:val="005D7A53"/>
    <w:rsid w:val="00603BC6"/>
    <w:rsid w:val="0061654A"/>
    <w:rsid w:val="00617F43"/>
    <w:rsid w:val="00623EE6"/>
    <w:rsid w:val="00624BFB"/>
    <w:rsid w:val="00627514"/>
    <w:rsid w:val="00632059"/>
    <w:rsid w:val="00632947"/>
    <w:rsid w:val="0064162F"/>
    <w:rsid w:val="006636B5"/>
    <w:rsid w:val="00666E8F"/>
    <w:rsid w:val="00675DC1"/>
    <w:rsid w:val="00684262"/>
    <w:rsid w:val="006852B1"/>
    <w:rsid w:val="00697B4C"/>
    <w:rsid w:val="006A0778"/>
    <w:rsid w:val="006A3316"/>
    <w:rsid w:val="006C74F9"/>
    <w:rsid w:val="006E7A47"/>
    <w:rsid w:val="006F3FC1"/>
    <w:rsid w:val="006F5487"/>
    <w:rsid w:val="007328FA"/>
    <w:rsid w:val="00732DB5"/>
    <w:rsid w:val="00734747"/>
    <w:rsid w:val="0074103F"/>
    <w:rsid w:val="007508EE"/>
    <w:rsid w:val="00754626"/>
    <w:rsid w:val="00790608"/>
    <w:rsid w:val="00790F86"/>
    <w:rsid w:val="007936CE"/>
    <w:rsid w:val="007A0BEE"/>
    <w:rsid w:val="007A1E88"/>
    <w:rsid w:val="007B70B7"/>
    <w:rsid w:val="007C03E1"/>
    <w:rsid w:val="007C172D"/>
    <w:rsid w:val="007D5EBE"/>
    <w:rsid w:val="007F21E7"/>
    <w:rsid w:val="007F4002"/>
    <w:rsid w:val="00807057"/>
    <w:rsid w:val="00807493"/>
    <w:rsid w:val="00814CDA"/>
    <w:rsid w:val="00844F2C"/>
    <w:rsid w:val="00854197"/>
    <w:rsid w:val="00855913"/>
    <w:rsid w:val="00862B21"/>
    <w:rsid w:val="008872AD"/>
    <w:rsid w:val="00894F89"/>
    <w:rsid w:val="0089527D"/>
    <w:rsid w:val="00897A62"/>
    <w:rsid w:val="008A053C"/>
    <w:rsid w:val="008A6242"/>
    <w:rsid w:val="008B14F0"/>
    <w:rsid w:val="008B4EFB"/>
    <w:rsid w:val="008E00DC"/>
    <w:rsid w:val="008F648B"/>
    <w:rsid w:val="00912FBA"/>
    <w:rsid w:val="0092151A"/>
    <w:rsid w:val="00922DA5"/>
    <w:rsid w:val="00942897"/>
    <w:rsid w:val="00981EA0"/>
    <w:rsid w:val="00983FD4"/>
    <w:rsid w:val="00993B99"/>
    <w:rsid w:val="009A308B"/>
    <w:rsid w:val="009B51E4"/>
    <w:rsid w:val="009D03BD"/>
    <w:rsid w:val="009D04FC"/>
    <w:rsid w:val="009D0918"/>
    <w:rsid w:val="009D286D"/>
    <w:rsid w:val="009E2B02"/>
    <w:rsid w:val="009F0411"/>
    <w:rsid w:val="009F193C"/>
    <w:rsid w:val="009F6C33"/>
    <w:rsid w:val="00A20EF1"/>
    <w:rsid w:val="00A2387A"/>
    <w:rsid w:val="00A248E8"/>
    <w:rsid w:val="00A274B6"/>
    <w:rsid w:val="00A351B0"/>
    <w:rsid w:val="00A36EF7"/>
    <w:rsid w:val="00A43422"/>
    <w:rsid w:val="00A45241"/>
    <w:rsid w:val="00A72132"/>
    <w:rsid w:val="00A72B84"/>
    <w:rsid w:val="00A82724"/>
    <w:rsid w:val="00A92F0D"/>
    <w:rsid w:val="00A93B42"/>
    <w:rsid w:val="00A96454"/>
    <w:rsid w:val="00AA6477"/>
    <w:rsid w:val="00AB1169"/>
    <w:rsid w:val="00AD0EF3"/>
    <w:rsid w:val="00AD1B27"/>
    <w:rsid w:val="00AD2216"/>
    <w:rsid w:val="00AD56D9"/>
    <w:rsid w:val="00AE4165"/>
    <w:rsid w:val="00B04A01"/>
    <w:rsid w:val="00B214BB"/>
    <w:rsid w:val="00B2452B"/>
    <w:rsid w:val="00B262D0"/>
    <w:rsid w:val="00B4074A"/>
    <w:rsid w:val="00B42426"/>
    <w:rsid w:val="00B62167"/>
    <w:rsid w:val="00B62B11"/>
    <w:rsid w:val="00B63350"/>
    <w:rsid w:val="00B74DFD"/>
    <w:rsid w:val="00B84F12"/>
    <w:rsid w:val="00B90ED7"/>
    <w:rsid w:val="00B926A5"/>
    <w:rsid w:val="00B96B26"/>
    <w:rsid w:val="00BA44B6"/>
    <w:rsid w:val="00BB117E"/>
    <w:rsid w:val="00BB15D3"/>
    <w:rsid w:val="00BB4272"/>
    <w:rsid w:val="00BC344F"/>
    <w:rsid w:val="00BC5AD4"/>
    <w:rsid w:val="00BD3A74"/>
    <w:rsid w:val="00BF0827"/>
    <w:rsid w:val="00BF74DE"/>
    <w:rsid w:val="00C02462"/>
    <w:rsid w:val="00C05E81"/>
    <w:rsid w:val="00C21DA1"/>
    <w:rsid w:val="00C242E8"/>
    <w:rsid w:val="00C27690"/>
    <w:rsid w:val="00C3298F"/>
    <w:rsid w:val="00C426D3"/>
    <w:rsid w:val="00C579F6"/>
    <w:rsid w:val="00C708D6"/>
    <w:rsid w:val="00C708ED"/>
    <w:rsid w:val="00C71C7D"/>
    <w:rsid w:val="00C90DF9"/>
    <w:rsid w:val="00C93B4C"/>
    <w:rsid w:val="00CA246C"/>
    <w:rsid w:val="00CA323D"/>
    <w:rsid w:val="00CA4B8E"/>
    <w:rsid w:val="00CB3797"/>
    <w:rsid w:val="00CB388B"/>
    <w:rsid w:val="00CB53D2"/>
    <w:rsid w:val="00CC5E06"/>
    <w:rsid w:val="00CD7515"/>
    <w:rsid w:val="00CD7CCD"/>
    <w:rsid w:val="00CE0F0C"/>
    <w:rsid w:val="00CE17EB"/>
    <w:rsid w:val="00CF6766"/>
    <w:rsid w:val="00D236F0"/>
    <w:rsid w:val="00D3088D"/>
    <w:rsid w:val="00D30EAB"/>
    <w:rsid w:val="00D3781A"/>
    <w:rsid w:val="00D46A8F"/>
    <w:rsid w:val="00D52B79"/>
    <w:rsid w:val="00D61440"/>
    <w:rsid w:val="00D64D2E"/>
    <w:rsid w:val="00D74AE5"/>
    <w:rsid w:val="00D7624F"/>
    <w:rsid w:val="00D9066C"/>
    <w:rsid w:val="00D90B83"/>
    <w:rsid w:val="00D90EAE"/>
    <w:rsid w:val="00D977D7"/>
    <w:rsid w:val="00DA28B9"/>
    <w:rsid w:val="00DB35BA"/>
    <w:rsid w:val="00DC72C6"/>
    <w:rsid w:val="00DD7D5D"/>
    <w:rsid w:val="00DE4DC1"/>
    <w:rsid w:val="00DE56DB"/>
    <w:rsid w:val="00DF39CC"/>
    <w:rsid w:val="00DF7BA4"/>
    <w:rsid w:val="00E00230"/>
    <w:rsid w:val="00E06756"/>
    <w:rsid w:val="00E16B1A"/>
    <w:rsid w:val="00E17F44"/>
    <w:rsid w:val="00E37EBA"/>
    <w:rsid w:val="00E46DBC"/>
    <w:rsid w:val="00E72EE4"/>
    <w:rsid w:val="00E8503A"/>
    <w:rsid w:val="00EA029C"/>
    <w:rsid w:val="00EA782B"/>
    <w:rsid w:val="00EB2444"/>
    <w:rsid w:val="00EB6186"/>
    <w:rsid w:val="00EC2566"/>
    <w:rsid w:val="00ED3595"/>
    <w:rsid w:val="00ED6565"/>
    <w:rsid w:val="00ED65A5"/>
    <w:rsid w:val="00EE4103"/>
    <w:rsid w:val="00EE4B8A"/>
    <w:rsid w:val="00EF0D6D"/>
    <w:rsid w:val="00F13687"/>
    <w:rsid w:val="00F16581"/>
    <w:rsid w:val="00F26BB9"/>
    <w:rsid w:val="00F27B62"/>
    <w:rsid w:val="00F32BF4"/>
    <w:rsid w:val="00F425D4"/>
    <w:rsid w:val="00F56C76"/>
    <w:rsid w:val="00F6438E"/>
    <w:rsid w:val="00F662CA"/>
    <w:rsid w:val="00F70D5F"/>
    <w:rsid w:val="00F931E6"/>
    <w:rsid w:val="00F95F10"/>
    <w:rsid w:val="00FB48CE"/>
    <w:rsid w:val="00FB6007"/>
    <w:rsid w:val="00FF5E2B"/>
    <w:rsid w:val="26D2DC1E"/>
    <w:rsid w:val="491D7498"/>
    <w:rsid w:val="6B980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953DF1"/>
  <w15:docId w15:val="{E65DA538-E2B6-4ED6-A2C9-C9DADA031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82B"/>
    <w:pPr>
      <w:spacing w:before="320" w:after="320" w:line="320" w:lineRule="exact"/>
    </w:pPr>
    <w:rPr>
      <w:rFonts w:ascii="Arial" w:hAnsi="Arial"/>
      <w:sz w:val="24"/>
      <w:szCs w:val="24"/>
    </w:rPr>
  </w:style>
  <w:style w:type="paragraph" w:styleId="Heading1">
    <w:name w:val="heading 1"/>
    <w:basedOn w:val="Normal"/>
    <w:next w:val="Normal"/>
    <w:link w:val="Heading1Char"/>
    <w:qFormat/>
    <w:rsid w:val="0055708F"/>
    <w:pPr>
      <w:keepNext/>
      <w:keepLines/>
      <w:spacing w:before="960" w:after="640"/>
      <w:outlineLvl w:val="0"/>
    </w:pPr>
    <w:rPr>
      <w:rFonts w:ascii="Franklin Gothic Demi" w:hAnsi="Franklin Gothic Demi"/>
      <w:bCs/>
      <w:color w:val="003479"/>
      <w:sz w:val="36"/>
      <w:szCs w:val="28"/>
    </w:rPr>
  </w:style>
  <w:style w:type="paragraph" w:styleId="Heading2">
    <w:name w:val="heading 2"/>
    <w:next w:val="Normal"/>
    <w:link w:val="Heading2Char"/>
    <w:unhideWhenUsed/>
    <w:qFormat/>
    <w:rsid w:val="0055708F"/>
    <w:pPr>
      <w:keepNext/>
      <w:keepLines/>
      <w:spacing w:before="640" w:after="320" w:line="320" w:lineRule="exact"/>
      <w:outlineLvl w:val="1"/>
    </w:pPr>
    <w:rPr>
      <w:rFonts w:ascii="Franklin Gothic Demi" w:hAnsi="Franklin Gothic Demi"/>
      <w:bCs/>
      <w:color w:val="003479"/>
      <w:sz w:val="32"/>
      <w:szCs w:val="26"/>
    </w:rPr>
  </w:style>
  <w:style w:type="paragraph" w:styleId="Heading3">
    <w:name w:val="heading 3"/>
    <w:next w:val="Normal"/>
    <w:link w:val="Heading3Char"/>
    <w:autoRedefine/>
    <w:unhideWhenUsed/>
    <w:rsid w:val="0055708F"/>
    <w:pPr>
      <w:keepNext/>
      <w:keepLines/>
      <w:spacing w:before="640" w:after="320" w:line="320" w:lineRule="exact"/>
      <w:outlineLvl w:val="2"/>
    </w:pPr>
    <w:rPr>
      <w:rFonts w:ascii="Franklin Gothic Demi" w:eastAsiaTheme="majorEastAsia" w:hAnsi="Franklin Gothic Demi"/>
      <w:bCs/>
      <w:color w:val="003479"/>
      <w:sz w:val="28"/>
      <w:szCs w:val="24"/>
    </w:rPr>
  </w:style>
  <w:style w:type="paragraph" w:styleId="Heading4">
    <w:name w:val="heading 4"/>
    <w:next w:val="Normal"/>
    <w:link w:val="Heading4Char"/>
    <w:unhideWhenUsed/>
    <w:rsid w:val="0010782C"/>
    <w:pPr>
      <w:numPr>
        <w:ilvl w:val="3"/>
        <w:numId w:val="4"/>
      </w:numPr>
      <w:spacing w:before="320" w:after="320" w:line="320" w:lineRule="exact"/>
      <w:outlineLvl w:val="3"/>
    </w:pPr>
    <w:rPr>
      <w:rFonts w:ascii="Franklin Gothic Demi" w:eastAsiaTheme="majorEastAsia" w:hAnsi="Franklin Gothic Demi" w:cstheme="majorBidi"/>
      <w:bCs/>
      <w:iCs/>
      <w:color w:val="003479"/>
      <w:sz w:val="28"/>
      <w:szCs w:val="24"/>
    </w:rPr>
  </w:style>
  <w:style w:type="paragraph" w:styleId="Heading5">
    <w:name w:val="heading 5"/>
    <w:next w:val="Normal"/>
    <w:link w:val="Heading5Char"/>
    <w:unhideWhenUsed/>
    <w:rsid w:val="0010782C"/>
    <w:pPr>
      <w:keepNext/>
      <w:keepLines/>
      <w:numPr>
        <w:ilvl w:val="4"/>
        <w:numId w:val="4"/>
      </w:numPr>
      <w:spacing w:before="320" w:after="320" w:line="320" w:lineRule="exact"/>
      <w:outlineLvl w:val="4"/>
    </w:pPr>
    <w:rPr>
      <w:rFonts w:ascii="Franklin Gothic Demi" w:eastAsiaTheme="majorEastAsia" w:hAnsi="Franklin Gothic Demi" w:cstheme="majorBidi"/>
      <w:color w:val="003479"/>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5708F"/>
    <w:rPr>
      <w:rFonts w:ascii="Franklin Gothic Demi" w:hAnsi="Franklin Gothic Demi"/>
      <w:bCs/>
      <w:color w:val="003479"/>
      <w:sz w:val="36"/>
      <w:szCs w:val="28"/>
    </w:rPr>
  </w:style>
  <w:style w:type="character" w:customStyle="1" w:styleId="Heading3Char">
    <w:name w:val="Heading 3 Char"/>
    <w:link w:val="Heading3"/>
    <w:rsid w:val="00DF7BA4"/>
    <w:rPr>
      <w:rFonts w:ascii="Franklin Gothic Demi" w:eastAsiaTheme="majorEastAsia" w:hAnsi="Franklin Gothic Demi"/>
      <w:bCs/>
      <w:color w:val="003479"/>
      <w:sz w:val="28"/>
      <w:szCs w:val="24"/>
    </w:rPr>
  </w:style>
  <w:style w:type="paragraph" w:styleId="Title">
    <w:name w:val="Title"/>
    <w:basedOn w:val="Normal"/>
    <w:next w:val="Normal"/>
    <w:link w:val="TitleChar"/>
    <w:uiPriority w:val="10"/>
    <w:qFormat/>
    <w:rsid w:val="003E7EFD"/>
    <w:pPr>
      <w:pBdr>
        <w:bottom w:val="single" w:sz="8" w:space="4" w:color="003479" w:themeColor="accent1"/>
      </w:pBdr>
      <w:spacing w:before="0" w:after="0" w:line="240" w:lineRule="auto"/>
      <w:contextualSpacing/>
    </w:pPr>
    <w:rPr>
      <w:rFonts w:ascii="Franklin Gothic Demi" w:eastAsiaTheme="majorEastAsia" w:hAnsi="Franklin Gothic Demi" w:cstheme="majorBidi"/>
      <w:color w:val="FFFFFF" w:themeColor="background1"/>
      <w:spacing w:val="5"/>
      <w:kern w:val="28"/>
      <w:sz w:val="52"/>
      <w:szCs w:val="52"/>
    </w:rPr>
  </w:style>
  <w:style w:type="character" w:styleId="Hyperlink">
    <w:name w:val="Hyperlink"/>
    <w:uiPriority w:val="99"/>
    <w:qFormat/>
    <w:rsid w:val="00D236F0"/>
    <w:rPr>
      <w:rFonts w:ascii="Arial" w:hAnsi="Arial"/>
      <w:color w:val="0078C9"/>
      <w:sz w:val="24"/>
      <w:u w:val="none"/>
    </w:rPr>
  </w:style>
  <w:style w:type="character" w:customStyle="1" w:styleId="Heading2Char">
    <w:name w:val="Heading 2 Char"/>
    <w:link w:val="Heading2"/>
    <w:rsid w:val="00B42426"/>
    <w:rPr>
      <w:rFonts w:ascii="Franklin Gothic Demi" w:hAnsi="Franklin Gothic Demi"/>
      <w:bCs/>
      <w:color w:val="003479"/>
      <w:sz w:val="32"/>
      <w:szCs w:val="26"/>
    </w:rPr>
  </w:style>
  <w:style w:type="paragraph" w:styleId="ListParagraph">
    <w:name w:val="List Paragraph"/>
    <w:basedOn w:val="Normal"/>
    <w:uiPriority w:val="99"/>
    <w:qFormat/>
    <w:rsid w:val="00814CDA"/>
    <w:pPr>
      <w:numPr>
        <w:numId w:val="1"/>
      </w:numPr>
      <w:contextualSpacing/>
    </w:pPr>
  </w:style>
  <w:style w:type="paragraph" w:customStyle="1" w:styleId="Un-numberedheading">
    <w:name w:val="Un-numbered heading"/>
    <w:next w:val="Normal"/>
    <w:qFormat/>
    <w:rsid w:val="005D459B"/>
    <w:pPr>
      <w:pageBreakBefore/>
      <w:spacing w:after="640" w:line="320" w:lineRule="exact"/>
    </w:pPr>
    <w:rPr>
      <w:rFonts w:ascii="Franklin Gothic Demi" w:hAnsi="Franklin Gothic Demi"/>
      <w:bCs/>
      <w:color w:val="003479"/>
      <w:sz w:val="36"/>
      <w:szCs w:val="28"/>
    </w:rPr>
  </w:style>
  <w:style w:type="paragraph" w:customStyle="1" w:styleId="AppendixHeading1">
    <w:name w:val="Appendix Heading 1"/>
    <w:basedOn w:val="Heading1"/>
    <w:next w:val="Normal"/>
    <w:rsid w:val="00CB53D2"/>
  </w:style>
  <w:style w:type="paragraph" w:customStyle="1" w:styleId="AppendixHeading2">
    <w:name w:val="Appendix Heading 2"/>
    <w:basedOn w:val="Heading2"/>
    <w:next w:val="Normal"/>
    <w:rsid w:val="001904CA"/>
  </w:style>
  <w:style w:type="paragraph" w:customStyle="1" w:styleId="AppendixHeading3">
    <w:name w:val="Appendix Heading 3"/>
    <w:basedOn w:val="Heading3"/>
    <w:next w:val="Normal"/>
    <w:rsid w:val="005C024F"/>
  </w:style>
  <w:style w:type="paragraph" w:styleId="Header">
    <w:name w:val="header"/>
    <w:next w:val="Normal"/>
    <w:link w:val="HeaderChar"/>
    <w:uiPriority w:val="99"/>
    <w:qFormat/>
    <w:rsid w:val="00627514"/>
    <w:pPr>
      <w:pBdr>
        <w:bottom w:val="single" w:sz="18" w:space="4" w:color="0078C9"/>
      </w:pBdr>
      <w:tabs>
        <w:tab w:val="center" w:pos="4513"/>
        <w:tab w:val="right" w:pos="9026"/>
      </w:tabs>
      <w:spacing w:after="640"/>
      <w:jc w:val="center"/>
    </w:pPr>
    <w:rPr>
      <w:rFonts w:ascii="Arial" w:hAnsi="Arial"/>
      <w:color w:val="857362"/>
      <w:szCs w:val="24"/>
    </w:rPr>
  </w:style>
  <w:style w:type="paragraph" w:styleId="TOC1">
    <w:name w:val="toc 1"/>
    <w:basedOn w:val="Normal"/>
    <w:next w:val="Normal"/>
    <w:autoRedefine/>
    <w:uiPriority w:val="39"/>
    <w:rsid w:val="00D236F0"/>
  </w:style>
  <w:style w:type="character" w:customStyle="1" w:styleId="HeaderChar">
    <w:name w:val="Header Char"/>
    <w:link w:val="Header"/>
    <w:uiPriority w:val="99"/>
    <w:rsid w:val="00627514"/>
    <w:rPr>
      <w:rFonts w:ascii="Arial" w:hAnsi="Arial"/>
      <w:color w:val="857362"/>
      <w:szCs w:val="24"/>
    </w:rPr>
  </w:style>
  <w:style w:type="paragraph" w:styleId="Footer">
    <w:name w:val="footer"/>
    <w:next w:val="Normal"/>
    <w:link w:val="FooterChar"/>
    <w:uiPriority w:val="99"/>
    <w:qFormat/>
    <w:rsid w:val="00627514"/>
    <w:pPr>
      <w:pBdr>
        <w:top w:val="single" w:sz="18" w:space="4" w:color="0078C9"/>
      </w:pBdr>
      <w:tabs>
        <w:tab w:val="center" w:pos="4513"/>
        <w:tab w:val="right" w:pos="9026"/>
      </w:tabs>
      <w:jc w:val="center"/>
    </w:pPr>
    <w:rPr>
      <w:rFonts w:ascii="Arial" w:hAnsi="Arial"/>
      <w:color w:val="857362"/>
      <w:szCs w:val="24"/>
    </w:rPr>
  </w:style>
  <w:style w:type="character" w:customStyle="1" w:styleId="FooterChar">
    <w:name w:val="Footer Char"/>
    <w:link w:val="Footer"/>
    <w:uiPriority w:val="99"/>
    <w:rsid w:val="00627514"/>
    <w:rPr>
      <w:rFonts w:ascii="Arial" w:hAnsi="Arial"/>
      <w:color w:val="857362"/>
      <w:szCs w:val="24"/>
    </w:rPr>
  </w:style>
  <w:style w:type="character" w:styleId="PlaceholderText">
    <w:name w:val="Placeholder Text"/>
    <w:uiPriority w:val="99"/>
    <w:semiHidden/>
    <w:rsid w:val="001904CA"/>
    <w:rPr>
      <w:color w:val="808080"/>
    </w:rPr>
  </w:style>
  <w:style w:type="character" w:customStyle="1" w:styleId="TitleChar">
    <w:name w:val="Title Char"/>
    <w:basedOn w:val="DefaultParagraphFont"/>
    <w:link w:val="Title"/>
    <w:uiPriority w:val="10"/>
    <w:rsid w:val="003E7EFD"/>
    <w:rPr>
      <w:rFonts w:ascii="Franklin Gothic Demi" w:eastAsiaTheme="majorEastAsia" w:hAnsi="Franklin Gothic Demi" w:cstheme="majorBidi"/>
      <w:color w:val="FFFFFF" w:themeColor="background1"/>
      <w:spacing w:val="5"/>
      <w:kern w:val="28"/>
      <w:sz w:val="52"/>
      <w:szCs w:val="52"/>
    </w:rPr>
  </w:style>
  <w:style w:type="character" w:styleId="CommentReference">
    <w:name w:val="annotation reference"/>
    <w:rsid w:val="001904CA"/>
    <w:rPr>
      <w:sz w:val="16"/>
      <w:szCs w:val="16"/>
    </w:rPr>
  </w:style>
  <w:style w:type="table" w:styleId="TableGrid">
    <w:name w:val="Table Grid"/>
    <w:basedOn w:val="TableNormal"/>
    <w:uiPriority w:val="39"/>
    <w:rsid w:val="00105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236F0"/>
    <w:pPr>
      <w:ind w:left="720" w:right="720"/>
    </w:pPr>
    <w:rPr>
      <w:iCs/>
      <w:color w:val="857362"/>
    </w:rPr>
  </w:style>
  <w:style w:type="character" w:customStyle="1" w:styleId="QuoteChar">
    <w:name w:val="Quote Char"/>
    <w:basedOn w:val="DefaultParagraphFont"/>
    <w:link w:val="Quote"/>
    <w:uiPriority w:val="29"/>
    <w:rsid w:val="00D236F0"/>
    <w:rPr>
      <w:rFonts w:ascii="Arial" w:hAnsi="Arial"/>
      <w:iCs/>
      <w:color w:val="857362"/>
      <w:sz w:val="24"/>
      <w:szCs w:val="24"/>
    </w:rPr>
  </w:style>
  <w:style w:type="paragraph" w:customStyle="1" w:styleId="Tableheading">
    <w:name w:val="Table heading"/>
    <w:basedOn w:val="Normal"/>
    <w:qFormat/>
    <w:rsid w:val="00894F89"/>
    <w:rPr>
      <w:rFonts w:ascii="Franklin Gothic Demi" w:hAnsi="Franklin Gothic Demi" w:cs="Arial"/>
      <w:color w:val="003479"/>
      <w:lang w:val="en"/>
    </w:rPr>
  </w:style>
  <w:style w:type="table" w:customStyle="1" w:styleId="Ofwat">
    <w:name w:val="Ofwat"/>
    <w:basedOn w:val="TableNormal"/>
    <w:uiPriority w:val="99"/>
    <w:rsid w:val="0064162F"/>
    <w:rPr>
      <w:rFonts w:asciiTheme="minorHAnsi" w:hAnsiTheme="minorHAnsi"/>
    </w:rPr>
    <w:tblPr>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left w:w="115" w:type="dxa"/>
        <w:right w:w="115" w:type="dxa"/>
      </w:tblCellMar>
    </w:tblPr>
    <w:tcPr>
      <w:shd w:val="clear" w:color="auto" w:fill="E0DCD8"/>
    </w:tcPr>
    <w:tblStylePr w:type="firstRow">
      <w:pPr>
        <w:jc w:val="left"/>
      </w:pPr>
      <w:rPr>
        <w:rFonts w:ascii="Arial" w:hAnsi="Arial"/>
        <w:color w:val="FFFFFF" w:themeColor="background1"/>
        <w:sz w:val="20"/>
      </w:rPr>
      <w:tblPr/>
      <w:tcPr>
        <w:shd w:val="clear" w:color="auto" w:fill="857362"/>
      </w:tcPr>
    </w:tblStylePr>
    <w:tblStylePr w:type="lastRow">
      <w:rPr>
        <w:rFonts w:ascii="Arial" w:hAnsi="Arial"/>
        <w:color w:val="auto"/>
        <w:sz w:val="20"/>
      </w:rPr>
      <w:tblPr/>
      <w:tcPr>
        <w:shd w:val="clear" w:color="auto" w:fill="E0DCD8"/>
      </w:tcPr>
    </w:tblStylePr>
  </w:style>
  <w:style w:type="table" w:styleId="TableColorful1">
    <w:name w:val="Table Colorful 1"/>
    <w:basedOn w:val="TableNormal"/>
    <w:rsid w:val="00BF74DE"/>
    <w:pPr>
      <w:spacing w:before="320" w:after="320" w:line="32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F74DE"/>
    <w:pPr>
      <w:spacing w:before="320" w:after="320" w:line="32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3">
    <w:name w:val="Table Classic 3"/>
    <w:basedOn w:val="TableNormal"/>
    <w:rsid w:val="00BF74DE"/>
    <w:pPr>
      <w:spacing w:before="320" w:after="320" w:line="32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headerrow">
    <w:name w:val="Table header row"/>
    <w:basedOn w:val="Ofwat"/>
    <w:uiPriority w:val="99"/>
    <w:rsid w:val="00D3781A"/>
    <w:tblPr/>
    <w:tcPr>
      <w:shd w:val="clear" w:color="auto" w:fill="E0DCD8"/>
    </w:tcPr>
    <w:tblStylePr w:type="firstRow">
      <w:pPr>
        <w:wordWrap/>
        <w:spacing w:beforeLines="0" w:before="0" w:beforeAutospacing="0" w:afterLines="0" w:after="0" w:afterAutospacing="0" w:line="240" w:lineRule="auto"/>
        <w:contextualSpacing w:val="0"/>
        <w:mirrorIndents w:val="0"/>
        <w:jc w:val="left"/>
      </w:pPr>
      <w:rPr>
        <w:rFonts w:ascii="Arial" w:hAnsi="Arial"/>
        <w:color w:val="FFFFFF" w:themeColor="background1"/>
        <w:sz w:val="20"/>
      </w:rPr>
      <w:tblPr/>
      <w:tcPr>
        <w:tcBorders>
          <w:top w:val="nil"/>
          <w:left w:val="nil"/>
          <w:bottom w:val="nil"/>
          <w:right w:val="nil"/>
          <w:insideH w:val="nil"/>
          <w:insideV w:val="nil"/>
        </w:tcBorders>
        <w:shd w:val="clear" w:color="auto" w:fill="857362"/>
      </w:tcPr>
    </w:tblStylePr>
    <w:tblStylePr w:type="lastRow">
      <w:rPr>
        <w:rFonts w:ascii="Arial" w:hAnsi="Arial"/>
        <w:color w:val="auto"/>
        <w:sz w:val="20"/>
      </w:rPr>
      <w:tblPr/>
      <w:tcPr>
        <w:shd w:val="clear" w:color="auto" w:fill="E0DCD8"/>
      </w:tcPr>
    </w:tblStylePr>
  </w:style>
  <w:style w:type="table" w:customStyle="1" w:styleId="Tablebody">
    <w:name w:val="Table body"/>
    <w:basedOn w:val="TableNormal"/>
    <w:uiPriority w:val="99"/>
    <w:rsid w:val="00D3781A"/>
    <w:rPr>
      <w:rFonts w:asciiTheme="minorHAnsi" w:hAnsiTheme="minorHAnsi"/>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CD8"/>
    </w:tcPr>
  </w:style>
  <w:style w:type="paragraph" w:customStyle="1" w:styleId="Tabledescriptorcell1">
    <w:name w:val="Table descriptor cell 1"/>
    <w:basedOn w:val="Normal"/>
    <w:link w:val="Tabledescriptorcell1Char"/>
    <w:qFormat/>
    <w:rsid w:val="007F4002"/>
    <w:pPr>
      <w:spacing w:before="80" w:after="80" w:line="240" w:lineRule="auto"/>
    </w:pPr>
    <w:rPr>
      <w:rFonts w:ascii="Franklin Gothic Demi" w:hAnsi="Franklin Gothic Demi"/>
      <w:color w:val="0078D2"/>
      <w:szCs w:val="20"/>
    </w:rPr>
  </w:style>
  <w:style w:type="table" w:customStyle="1" w:styleId="Style1">
    <w:name w:val="Style1"/>
    <w:basedOn w:val="TableNormal"/>
    <w:uiPriority w:val="99"/>
    <w:rsid w:val="003C2427"/>
    <w:rPr>
      <w:rFonts w:asciiTheme="minorHAnsi" w:hAnsiTheme="minorHAnsi"/>
    </w:rPr>
    <w:tblPr/>
  </w:style>
  <w:style w:type="table" w:customStyle="1" w:styleId="Ofwatnew">
    <w:name w:val="Ofwat new"/>
    <w:basedOn w:val="TableNormal"/>
    <w:uiPriority w:val="99"/>
    <w:rsid w:val="006852B1"/>
    <w:rPr>
      <w:rFonts w:asciiTheme="minorHAnsi" w:hAnsiTheme="minorHAnsi"/>
    </w:rPr>
    <w:tblPr>
      <w:tblStyleRowBandSize w:val="1"/>
      <w:tblBorders>
        <w:top w:val="single" w:sz="4" w:space="0" w:color="857362"/>
        <w:left w:val="single" w:sz="4" w:space="0" w:color="857362"/>
        <w:bottom w:val="single" w:sz="4" w:space="0" w:color="857362"/>
        <w:right w:val="single" w:sz="4" w:space="0" w:color="857362"/>
        <w:insideH w:val="single" w:sz="4" w:space="0" w:color="857362"/>
        <w:insideV w:val="single" w:sz="4" w:space="0" w:color="857362"/>
      </w:tblBorders>
    </w:tblPr>
    <w:tblStylePr w:type="firstRow">
      <w:pPr>
        <w:jc w:val="right"/>
      </w:pPr>
      <w:rPr>
        <w:rFonts w:ascii="Franklin Gothic Demi" w:hAnsi="Franklin Gothic Demi"/>
        <w:color w:val="0078C9"/>
        <w:sz w:val="24"/>
      </w:rPr>
      <w:tblPr/>
      <w:tcPr>
        <w:shd w:val="clear" w:color="auto" w:fill="E0DCD8"/>
      </w:tcPr>
    </w:tblStylePr>
    <w:tblStylePr w:type="band1Horz">
      <w:rPr>
        <w:rFonts w:ascii="Arial" w:hAnsi="Arial"/>
        <w:sz w:val="20"/>
      </w:rPr>
      <w:tblPr/>
      <w:tcPr>
        <w:shd w:val="clear" w:color="auto" w:fill="FFFFFF" w:themeFill="background1"/>
      </w:tcPr>
    </w:tblStylePr>
    <w:tblStylePr w:type="band2Horz">
      <w:rPr>
        <w:rFonts w:ascii="Arial" w:hAnsi="Arial"/>
        <w:sz w:val="20"/>
      </w:rPr>
    </w:tblStylePr>
    <w:tblStylePr w:type="nwCell">
      <w:pPr>
        <w:wordWrap/>
        <w:spacing w:beforeLines="0" w:before="0" w:beforeAutospacing="0" w:afterLines="0" w:after="0" w:afterAutospacing="0" w:line="240" w:lineRule="auto"/>
        <w:contextualSpacing w:val="0"/>
        <w:mirrorIndents w:val="0"/>
        <w:jc w:val="left"/>
      </w:pPr>
      <w:rPr>
        <w:rFonts w:ascii="Franklin Gothic Demi" w:hAnsi="Franklin Gothic Demi"/>
        <w:color w:val="0078C9"/>
        <w:sz w:val="24"/>
      </w:rPr>
      <w:tblPr/>
      <w:tcPr>
        <w:shd w:val="clear" w:color="auto" w:fill="E0DCD8"/>
      </w:tcPr>
    </w:tblStylePr>
  </w:style>
  <w:style w:type="paragraph" w:customStyle="1" w:styleId="Tableparagraph">
    <w:name w:val="Table paragraph"/>
    <w:next w:val="Normal"/>
    <w:uiPriority w:val="99"/>
    <w:qFormat/>
    <w:rsid w:val="00187F42"/>
    <w:pPr>
      <w:spacing w:before="60" w:after="60"/>
    </w:pPr>
    <w:rPr>
      <w:rFonts w:ascii="Arial" w:hAnsi="Arial"/>
      <w:szCs w:val="24"/>
    </w:rPr>
  </w:style>
  <w:style w:type="paragraph" w:customStyle="1" w:styleId="Emphasisedtext">
    <w:name w:val="Emphasised text"/>
    <w:basedOn w:val="Normal"/>
    <w:next w:val="Normal"/>
    <w:link w:val="EmphasisedtextChar"/>
    <w:qFormat/>
    <w:rsid w:val="006852B1"/>
    <w:rPr>
      <w:rFonts w:ascii="Franklin Gothic Demi" w:hAnsi="Franklin Gothic Demi"/>
      <w:color w:val="003479"/>
      <w:sz w:val="26"/>
    </w:rPr>
  </w:style>
  <w:style w:type="paragraph" w:customStyle="1" w:styleId="Numberedlist">
    <w:name w:val="Numbered list"/>
    <w:basedOn w:val="ListParagraph"/>
    <w:rsid w:val="00814CDA"/>
    <w:pPr>
      <w:numPr>
        <w:numId w:val="2"/>
      </w:numPr>
    </w:pPr>
  </w:style>
  <w:style w:type="paragraph" w:styleId="BalloonText">
    <w:name w:val="Balloon Text"/>
    <w:basedOn w:val="Normal"/>
    <w:link w:val="BalloonTextChar"/>
    <w:rsid w:val="005A407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A407D"/>
    <w:rPr>
      <w:rFonts w:ascii="Tahoma" w:hAnsi="Tahoma" w:cs="Tahoma"/>
      <w:sz w:val="16"/>
      <w:szCs w:val="16"/>
    </w:rPr>
  </w:style>
  <w:style w:type="character" w:customStyle="1" w:styleId="EmphasisedtextChar">
    <w:name w:val="Emphasised text Char"/>
    <w:basedOn w:val="DefaultParagraphFont"/>
    <w:link w:val="Emphasisedtext"/>
    <w:rsid w:val="006852B1"/>
    <w:rPr>
      <w:rFonts w:ascii="Franklin Gothic Demi" w:hAnsi="Franklin Gothic Demi"/>
      <w:color w:val="003479"/>
      <w:sz w:val="26"/>
      <w:szCs w:val="24"/>
    </w:rPr>
  </w:style>
  <w:style w:type="paragraph" w:customStyle="1" w:styleId="Tabledescriptorcells">
    <w:name w:val="Table descriptor cells"/>
    <w:basedOn w:val="Tabledescriptorcell1"/>
    <w:link w:val="TabledescriptorcellsChar"/>
    <w:qFormat/>
    <w:rsid w:val="00AD2216"/>
    <w:pPr>
      <w:jc w:val="center"/>
    </w:pPr>
  </w:style>
  <w:style w:type="character" w:customStyle="1" w:styleId="Tabledescriptorcell1Char">
    <w:name w:val="Table descriptor cell 1 Char"/>
    <w:basedOn w:val="DefaultParagraphFont"/>
    <w:link w:val="Tabledescriptorcell1"/>
    <w:rsid w:val="007F4002"/>
    <w:rPr>
      <w:rFonts w:ascii="Franklin Gothic Demi" w:hAnsi="Franklin Gothic Demi"/>
      <w:color w:val="0078D2"/>
      <w:sz w:val="24"/>
    </w:rPr>
  </w:style>
  <w:style w:type="character" w:customStyle="1" w:styleId="TabledescriptorcellsChar">
    <w:name w:val="Table descriptor cells Char"/>
    <w:basedOn w:val="Tabledescriptorcell1Char"/>
    <w:link w:val="Tabledescriptorcells"/>
    <w:rsid w:val="00AD2216"/>
    <w:rPr>
      <w:rFonts w:ascii="Franklin Gothic Demi" w:hAnsi="Franklin Gothic Demi"/>
      <w:color w:val="0078D2"/>
      <w:sz w:val="24"/>
    </w:rPr>
  </w:style>
  <w:style w:type="paragraph" w:styleId="NoSpacing">
    <w:name w:val="No Spacing"/>
    <w:link w:val="NoSpacingChar"/>
    <w:uiPriority w:val="1"/>
    <w:rsid w:val="003E7EFD"/>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3E7EFD"/>
    <w:rPr>
      <w:rFonts w:asciiTheme="minorHAnsi" w:eastAsiaTheme="minorEastAsia" w:hAnsiTheme="minorHAnsi" w:cstheme="minorBidi"/>
      <w:sz w:val="22"/>
      <w:szCs w:val="22"/>
      <w:lang w:val="en-US" w:eastAsia="en-US"/>
    </w:rPr>
  </w:style>
  <w:style w:type="paragraph" w:customStyle="1" w:styleId="Dateandstrap">
    <w:name w:val="Date and strap"/>
    <w:qFormat/>
    <w:rsid w:val="003E7EFD"/>
    <w:rPr>
      <w:rFonts w:ascii="Arial" w:eastAsiaTheme="minorHAnsi" w:hAnsi="Arial" w:cs="Arial"/>
      <w:color w:val="FFFFFF" w:themeColor="background1"/>
      <w:sz w:val="22"/>
      <w:szCs w:val="22"/>
      <w:lang w:val="en-US" w:eastAsia="en-US"/>
    </w:rPr>
  </w:style>
  <w:style w:type="paragraph" w:customStyle="1" w:styleId="Web">
    <w:name w:val="Web"/>
    <w:qFormat/>
    <w:rsid w:val="003E7EFD"/>
    <w:pPr>
      <w:jc w:val="both"/>
    </w:pPr>
    <w:rPr>
      <w:rFonts w:ascii="Franklin Gothic Demi" w:eastAsiaTheme="minorHAnsi" w:hAnsi="Franklin Gothic Demi" w:cs="Arial"/>
      <w:color w:val="003479"/>
      <w:sz w:val="28"/>
      <w:szCs w:val="28"/>
      <w:lang w:val="en-US" w:eastAsia="en-US"/>
    </w:rPr>
  </w:style>
  <w:style w:type="paragraph" w:customStyle="1" w:styleId="Listparagraphlevel2">
    <w:name w:val="List paragraph level 2"/>
    <w:basedOn w:val="ListParagraph"/>
    <w:qFormat/>
    <w:rsid w:val="00587060"/>
    <w:pPr>
      <w:ind w:left="720"/>
    </w:pPr>
  </w:style>
  <w:style w:type="paragraph" w:styleId="FootnoteText">
    <w:name w:val="footnote text"/>
    <w:link w:val="FootnoteTextChar"/>
    <w:unhideWhenUsed/>
    <w:qFormat/>
    <w:rsid w:val="007F4002"/>
    <w:rPr>
      <w:rFonts w:ascii="Arial" w:hAnsi="Arial"/>
    </w:rPr>
  </w:style>
  <w:style w:type="character" w:customStyle="1" w:styleId="FootnoteTextChar">
    <w:name w:val="Footnote Text Char"/>
    <w:basedOn w:val="DefaultParagraphFont"/>
    <w:link w:val="FootnoteText"/>
    <w:rsid w:val="007F4002"/>
    <w:rPr>
      <w:rFonts w:ascii="Arial" w:hAnsi="Arial"/>
    </w:rPr>
  </w:style>
  <w:style w:type="character" w:styleId="FootnoteReference">
    <w:name w:val="footnote reference"/>
    <w:basedOn w:val="DefaultParagraphFont"/>
    <w:semiHidden/>
    <w:unhideWhenUsed/>
    <w:rsid w:val="007F4002"/>
    <w:rPr>
      <w:vertAlign w:val="superscript"/>
    </w:rPr>
  </w:style>
  <w:style w:type="paragraph" w:customStyle="1" w:styleId="Protect">
    <w:name w:val="Protect"/>
    <w:qFormat/>
    <w:rsid w:val="00375579"/>
    <w:pPr>
      <w:spacing w:after="240"/>
      <w:jc w:val="center"/>
    </w:pPr>
    <w:rPr>
      <w:rFonts w:ascii="Arial" w:hAnsi="Arial"/>
      <w:color w:val="FE4819"/>
    </w:rPr>
  </w:style>
  <w:style w:type="character" w:customStyle="1" w:styleId="Heading4Char">
    <w:name w:val="Heading 4 Char"/>
    <w:basedOn w:val="DefaultParagraphFont"/>
    <w:link w:val="Heading4"/>
    <w:rsid w:val="0010782C"/>
    <w:rPr>
      <w:rFonts w:ascii="Franklin Gothic Demi" w:eastAsiaTheme="majorEastAsia" w:hAnsi="Franklin Gothic Demi" w:cstheme="majorBidi"/>
      <w:bCs/>
      <w:iCs/>
      <w:color w:val="003479"/>
      <w:sz w:val="28"/>
      <w:szCs w:val="24"/>
    </w:rPr>
  </w:style>
  <w:style w:type="character" w:customStyle="1" w:styleId="Heading5Char">
    <w:name w:val="Heading 5 Char"/>
    <w:basedOn w:val="DefaultParagraphFont"/>
    <w:link w:val="Heading5"/>
    <w:rsid w:val="0010782C"/>
    <w:rPr>
      <w:rFonts w:ascii="Franklin Gothic Demi" w:eastAsiaTheme="majorEastAsia" w:hAnsi="Franklin Gothic Demi" w:cstheme="majorBidi"/>
      <w:color w:val="003479"/>
      <w:sz w:val="28"/>
      <w:szCs w:val="24"/>
    </w:rPr>
  </w:style>
  <w:style w:type="paragraph" w:customStyle="1" w:styleId="NumberedAppendixHeading1">
    <w:name w:val="Numbered Appendix Heading 1"/>
    <w:basedOn w:val="AppendixHeading1"/>
    <w:next w:val="Normal"/>
    <w:rsid w:val="0074103F"/>
    <w:pPr>
      <w:numPr>
        <w:numId w:val="3"/>
      </w:numPr>
    </w:pPr>
  </w:style>
  <w:style w:type="paragraph" w:customStyle="1" w:styleId="NumberedAppendixHeading2">
    <w:name w:val="Numbered Appendix Heading 2"/>
    <w:basedOn w:val="AppendixHeading2"/>
    <w:next w:val="Normal"/>
    <w:rsid w:val="0074103F"/>
    <w:pPr>
      <w:ind w:left="357" w:hanging="357"/>
    </w:pPr>
  </w:style>
  <w:style w:type="paragraph" w:customStyle="1" w:styleId="NumberedAppendixHeading3">
    <w:name w:val="Numbered Appendix Heading 3"/>
    <w:basedOn w:val="AppendixHeading3"/>
    <w:next w:val="Normal"/>
    <w:rsid w:val="0074103F"/>
    <w:pPr>
      <w:ind w:left="357" w:hanging="357"/>
    </w:pPr>
  </w:style>
  <w:style w:type="paragraph" w:styleId="CommentText">
    <w:name w:val="annotation text"/>
    <w:basedOn w:val="Normal"/>
    <w:link w:val="CommentTextChar"/>
    <w:semiHidden/>
    <w:unhideWhenUsed/>
    <w:rsid w:val="00122D74"/>
    <w:pPr>
      <w:spacing w:line="240" w:lineRule="auto"/>
    </w:pPr>
    <w:rPr>
      <w:sz w:val="20"/>
      <w:szCs w:val="20"/>
    </w:rPr>
  </w:style>
  <w:style w:type="character" w:customStyle="1" w:styleId="CommentTextChar">
    <w:name w:val="Comment Text Char"/>
    <w:basedOn w:val="DefaultParagraphFont"/>
    <w:link w:val="CommentText"/>
    <w:semiHidden/>
    <w:rsid w:val="00122D74"/>
    <w:rPr>
      <w:rFonts w:ascii="Arial" w:hAnsi="Arial"/>
    </w:rPr>
  </w:style>
  <w:style w:type="paragraph" w:styleId="CommentSubject">
    <w:name w:val="annotation subject"/>
    <w:basedOn w:val="CommentText"/>
    <w:next w:val="CommentText"/>
    <w:link w:val="CommentSubjectChar"/>
    <w:semiHidden/>
    <w:unhideWhenUsed/>
    <w:rsid w:val="00122D74"/>
    <w:rPr>
      <w:b/>
      <w:bCs/>
    </w:rPr>
  </w:style>
  <w:style w:type="character" w:customStyle="1" w:styleId="CommentSubjectChar">
    <w:name w:val="Comment Subject Char"/>
    <w:basedOn w:val="CommentTextChar"/>
    <w:link w:val="CommentSubject"/>
    <w:semiHidden/>
    <w:rsid w:val="00122D74"/>
    <w:rPr>
      <w:rFonts w:ascii="Arial" w:hAnsi="Arial"/>
      <w:b/>
      <w:bCs/>
    </w:rPr>
  </w:style>
  <w:style w:type="character" w:styleId="Strong">
    <w:name w:val="Strong"/>
    <w:uiPriority w:val="22"/>
    <w:qFormat/>
    <w:rsid w:val="00DF7BA4"/>
    <w:rPr>
      <w:rFonts w:ascii="Arial Rounded MT Bold" w:hAnsi="Arial Rounded MT Bold" w:cs="Arial"/>
      <w:color w:val="003479" w:themeColor="accent1"/>
      <w:sz w:val="24"/>
    </w:rPr>
  </w:style>
  <w:style w:type="character" w:styleId="PageNumber">
    <w:name w:val="page number"/>
    <w:basedOn w:val="DefaultParagraphFont"/>
    <w:uiPriority w:val="99"/>
    <w:rsid w:val="00A2387A"/>
    <w:rPr>
      <w:rFonts w:cs="Times New Roman"/>
    </w:rPr>
  </w:style>
  <w:style w:type="paragraph" w:styleId="ListNumber">
    <w:name w:val="List Number"/>
    <w:unhideWhenUsed/>
    <w:rsid w:val="00A2387A"/>
    <w:pPr>
      <w:numPr>
        <w:ilvl w:val="1"/>
        <w:numId w:val="6"/>
      </w:numPr>
      <w:spacing w:before="120" w:after="120"/>
    </w:pPr>
    <w:rPr>
      <w:rFonts w:ascii="Arial" w:hAnsi="Arial"/>
      <w:sz w:val="24"/>
      <w:lang w:eastAsia="en-US"/>
    </w:rPr>
  </w:style>
  <w:style w:type="paragraph" w:styleId="ListNumber2">
    <w:name w:val="List Number 2"/>
    <w:aliases w:val="test"/>
    <w:basedOn w:val="Normal"/>
    <w:semiHidden/>
    <w:unhideWhenUsed/>
    <w:rsid w:val="00A2387A"/>
    <w:pPr>
      <w:numPr>
        <w:ilvl w:val="2"/>
        <w:numId w:val="6"/>
      </w:numPr>
      <w:tabs>
        <w:tab w:val="num" w:pos="720"/>
      </w:tabs>
      <w:suppressAutoHyphens/>
      <w:autoSpaceDE w:val="0"/>
      <w:autoSpaceDN w:val="0"/>
      <w:adjustRightInd w:val="0"/>
      <w:spacing w:before="120" w:after="120"/>
      <w:ind w:left="720" w:hanging="720"/>
    </w:pPr>
    <w:rPr>
      <w:rFonts w:cs="Arial"/>
      <w:color w:val="000000"/>
      <w:szCs w:val="20"/>
      <w:lang w:eastAsia="en-US"/>
    </w:rPr>
  </w:style>
  <w:style w:type="paragraph" w:styleId="ListNumber3">
    <w:name w:val="List Number 3"/>
    <w:basedOn w:val="Normal"/>
    <w:semiHidden/>
    <w:unhideWhenUsed/>
    <w:rsid w:val="00A2387A"/>
    <w:pPr>
      <w:numPr>
        <w:numId w:val="6"/>
      </w:numPr>
      <w:tabs>
        <w:tab w:val="clear" w:pos="360"/>
        <w:tab w:val="num" w:pos="1429"/>
      </w:tabs>
      <w:suppressAutoHyphens/>
      <w:autoSpaceDE w:val="0"/>
      <w:autoSpaceDN w:val="0"/>
      <w:adjustRightInd w:val="0"/>
      <w:spacing w:before="120" w:after="120"/>
      <w:ind w:left="1429" w:hanging="709"/>
    </w:pPr>
    <w:rPr>
      <w:rFonts w:cs="Arial"/>
      <w:bCs/>
      <w:color w:val="000000"/>
      <w:szCs w:val="20"/>
      <w:lang w:eastAsia="en-US"/>
    </w:rPr>
  </w:style>
  <w:style w:type="paragraph" w:customStyle="1" w:styleId="Jobtitle">
    <w:name w:val="Job title"/>
    <w:next w:val="Normal"/>
    <w:rsid w:val="005D459B"/>
    <w:rPr>
      <w:rFonts w:ascii="Franklin Gothic Demi" w:eastAsiaTheme="minorHAnsi" w:hAnsi="Franklin Gothic Demi" w:cs="Arial"/>
      <w:color w:val="003479"/>
      <w:sz w:val="32"/>
      <w:szCs w:val="32"/>
      <w:lang w:val="en-US" w:eastAsia="en-US"/>
    </w:rPr>
  </w:style>
  <w:style w:type="paragraph" w:styleId="PlainText">
    <w:name w:val="Plain Text"/>
    <w:basedOn w:val="Normal"/>
    <w:link w:val="PlainTextChar"/>
    <w:uiPriority w:val="99"/>
    <w:unhideWhenUsed/>
    <w:rsid w:val="005D459B"/>
    <w:pPr>
      <w:spacing w:before="0" w:after="0" w:line="240" w:lineRule="auto"/>
    </w:pPr>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D459B"/>
    <w:rPr>
      <w:rFonts w:ascii="Calibri" w:eastAsiaTheme="minorHAnsi" w:hAnsi="Calibri" w:cstheme="minorBidi"/>
      <w:sz w:val="22"/>
      <w:szCs w:val="21"/>
      <w:lang w:eastAsia="en-US"/>
    </w:rPr>
  </w:style>
  <w:style w:type="paragraph" w:customStyle="1" w:styleId="Default">
    <w:name w:val="Default"/>
    <w:basedOn w:val="Normal"/>
    <w:rsid w:val="00F56C76"/>
    <w:pPr>
      <w:autoSpaceDE w:val="0"/>
      <w:autoSpaceDN w:val="0"/>
      <w:spacing w:before="0" w:after="0" w:line="240" w:lineRule="auto"/>
    </w:pPr>
    <w:rPr>
      <w:rFonts w:eastAsiaTheme="minorHAnsi" w:cs="Arial"/>
      <w:color w:val="000000"/>
    </w:rPr>
  </w:style>
  <w:style w:type="character" w:styleId="FollowedHyperlink">
    <w:name w:val="FollowedHyperlink"/>
    <w:basedOn w:val="DefaultParagraphFont"/>
    <w:semiHidden/>
    <w:unhideWhenUsed/>
    <w:rsid w:val="00497E5C"/>
    <w:rPr>
      <w:color w:val="FFFF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65666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68">
          <w:marLeft w:val="0"/>
          <w:marRight w:val="0"/>
          <w:marTop w:val="0"/>
          <w:marBottom w:val="0"/>
          <w:divBdr>
            <w:top w:val="none" w:sz="0" w:space="0" w:color="auto"/>
            <w:left w:val="none" w:sz="0" w:space="0" w:color="auto"/>
            <w:bottom w:val="none" w:sz="0" w:space="0" w:color="auto"/>
            <w:right w:val="none" w:sz="0" w:space="0" w:color="auto"/>
          </w:divBdr>
          <w:divsChild>
            <w:div w:id="208209535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33968240">
      <w:bodyDiv w:val="1"/>
      <w:marLeft w:val="0"/>
      <w:marRight w:val="0"/>
      <w:marTop w:val="0"/>
      <w:marBottom w:val="0"/>
      <w:divBdr>
        <w:top w:val="none" w:sz="0" w:space="0" w:color="auto"/>
        <w:left w:val="none" w:sz="0" w:space="0" w:color="auto"/>
        <w:bottom w:val="none" w:sz="0" w:space="0" w:color="auto"/>
        <w:right w:val="none" w:sz="0" w:space="0" w:color="auto"/>
      </w:divBdr>
    </w:div>
    <w:div w:id="933394637">
      <w:bodyDiv w:val="1"/>
      <w:marLeft w:val="0"/>
      <w:marRight w:val="0"/>
      <w:marTop w:val="0"/>
      <w:marBottom w:val="0"/>
      <w:divBdr>
        <w:top w:val="none" w:sz="0" w:space="0" w:color="auto"/>
        <w:left w:val="none" w:sz="0" w:space="0" w:color="auto"/>
        <w:bottom w:val="none" w:sz="0" w:space="0" w:color="auto"/>
        <w:right w:val="none" w:sz="0" w:space="0" w:color="auto"/>
      </w:divBdr>
      <w:divsChild>
        <w:div w:id="778523669">
          <w:marLeft w:val="0"/>
          <w:marRight w:val="0"/>
          <w:marTop w:val="0"/>
          <w:marBottom w:val="0"/>
          <w:divBdr>
            <w:top w:val="none" w:sz="0" w:space="0" w:color="auto"/>
            <w:left w:val="none" w:sz="0" w:space="0" w:color="auto"/>
            <w:bottom w:val="none" w:sz="0" w:space="0" w:color="auto"/>
            <w:right w:val="none" w:sz="0" w:space="0" w:color="auto"/>
          </w:divBdr>
          <w:divsChild>
            <w:div w:id="154279031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686127070">
      <w:bodyDiv w:val="1"/>
      <w:marLeft w:val="0"/>
      <w:marRight w:val="0"/>
      <w:marTop w:val="0"/>
      <w:marBottom w:val="0"/>
      <w:divBdr>
        <w:top w:val="none" w:sz="0" w:space="0" w:color="auto"/>
        <w:left w:val="none" w:sz="0" w:space="0" w:color="auto"/>
        <w:bottom w:val="none" w:sz="0" w:space="0" w:color="auto"/>
        <w:right w:val="none" w:sz="0" w:space="0" w:color="auto"/>
      </w:divBdr>
    </w:div>
    <w:div w:id="1886483728">
      <w:bodyDiv w:val="1"/>
      <w:marLeft w:val="0"/>
      <w:marRight w:val="0"/>
      <w:marTop w:val="0"/>
      <w:marBottom w:val="0"/>
      <w:divBdr>
        <w:top w:val="none" w:sz="0" w:space="0" w:color="auto"/>
        <w:left w:val="none" w:sz="0" w:space="0" w:color="auto"/>
        <w:bottom w:val="none" w:sz="0" w:space="0" w:color="auto"/>
        <w:right w:val="none" w:sz="0" w:space="0" w:color="auto"/>
      </w:divBdr>
      <w:divsChild>
        <w:div w:id="380979168">
          <w:marLeft w:val="0"/>
          <w:marRight w:val="0"/>
          <w:marTop w:val="0"/>
          <w:marBottom w:val="0"/>
          <w:divBdr>
            <w:top w:val="none" w:sz="0" w:space="0" w:color="auto"/>
            <w:left w:val="none" w:sz="0" w:space="0" w:color="auto"/>
            <w:bottom w:val="none" w:sz="0" w:space="0" w:color="auto"/>
            <w:right w:val="none" w:sz="0" w:space="0" w:color="auto"/>
          </w:divBdr>
          <w:divsChild>
            <w:div w:id="735082395">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947538397">
      <w:bodyDiv w:val="1"/>
      <w:marLeft w:val="0"/>
      <w:marRight w:val="0"/>
      <w:marTop w:val="0"/>
      <w:marBottom w:val="0"/>
      <w:divBdr>
        <w:top w:val="none" w:sz="0" w:space="0" w:color="auto"/>
        <w:left w:val="none" w:sz="0" w:space="0" w:color="auto"/>
        <w:bottom w:val="none" w:sz="0" w:space="0" w:color="auto"/>
        <w:right w:val="none" w:sz="0" w:space="0" w:color="auto"/>
      </w:divBdr>
    </w:div>
    <w:div w:id="2052609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mailto:payroll@ofwat.gov.uk" TargetMode="External"/><Relationship Id="rId26" Type="http://schemas.openxmlformats.org/officeDocument/2006/relationships/hyperlink" Target="http://civilservicecommission.independent.gov.uk/civil-service-recruitment/" TargetMode="External"/><Relationship Id="rId3" Type="http://schemas.openxmlformats.org/officeDocument/2006/relationships/customXml" Target="../customXml/item3.xml"/><Relationship Id="rId21" Type="http://schemas.openxmlformats.org/officeDocument/2006/relationships/hyperlink" Target="mailto:recruitment@ofwat.gov.u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ofwat.gov.uk/wp-content/uploads/2020/07/RAPID-forward-programme-20_21.pdf" TargetMode="External"/><Relationship Id="rId25" Type="http://schemas.openxmlformats.org/officeDocument/2006/relationships/hyperlink" Target="mailto:FOI@ofwat.gsi.gov.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ofwat.gov.uk/publication/time-to-act-together-ofwats-strategy/" TargetMode="External"/><Relationship Id="rId20" Type="http://schemas.openxmlformats.org/officeDocument/2006/relationships/hyperlink" Target="mailto:people@ofwat.gov.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eople@ofwat.gsi.gov.uk"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www.ofwat.gov.uk/publication/privacy-policy/" TargetMode="External"/><Relationship Id="rId28" Type="http://schemas.openxmlformats.org/officeDocument/2006/relationships/hyperlink" Target="mailto:info@csc.gov.uk" TargetMode="External"/><Relationship Id="rId10" Type="http://schemas.openxmlformats.org/officeDocument/2006/relationships/footnotes" Target="footnotes.xml"/><Relationship Id="rId19" Type="http://schemas.openxmlformats.org/officeDocument/2006/relationships/hyperlink" Target="http://www.civilservicepensionscheme.org.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mailto:recruitment@ofwat.gov.uk" TargetMode="External"/><Relationship Id="rId27" Type="http://schemas.openxmlformats.org/officeDocument/2006/relationships/hyperlink" Target="http://resources.civilservice.gov.uk/wp-content/uploads/2011/09/civil-service-code-2010.pdf" TargetMode="External"/><Relationship Id="rId30" Type="http://schemas.openxmlformats.org/officeDocument/2006/relationships/footer" Target="footer1.xml"/></Relationships>
</file>

<file path=word/theme/theme1.xml><?xml version="1.0" encoding="utf-8"?>
<a:theme xmlns:a="http://schemas.openxmlformats.org/drawingml/2006/main" name="Ofwat">
  <a:themeElements>
    <a:clrScheme name="Ofwat 2015">
      <a:dk1>
        <a:sysClr val="windowText" lastClr="000000"/>
      </a:dk1>
      <a:lt1>
        <a:sysClr val="window" lastClr="FFFFFF"/>
      </a:lt1>
      <a:dk2>
        <a:srgbClr val="003479"/>
      </a:dk2>
      <a:lt2>
        <a:srgbClr val="0078C9"/>
      </a:lt2>
      <a:accent1>
        <a:srgbClr val="003479"/>
      </a:accent1>
      <a:accent2>
        <a:srgbClr val="0078C9"/>
      </a:accent2>
      <a:accent3>
        <a:srgbClr val="857362"/>
      </a:accent3>
      <a:accent4>
        <a:srgbClr val="F4AA00"/>
      </a:accent4>
      <a:accent5>
        <a:srgbClr val="859500"/>
      </a:accent5>
      <a:accent6>
        <a:srgbClr val="CA0083"/>
      </a:accent6>
      <a:hlink>
        <a:srgbClr val="FE4819"/>
      </a:hlink>
      <a:folHlink>
        <a:srgbClr val="FFFFFF"/>
      </a:folHlink>
    </a:clrScheme>
    <a:fontScheme name="Ofwat">
      <a:majorFont>
        <a:latin typeface="Arial Rounded MT Bold"/>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573134B1BDBFC74F8C2DBF70E4CDEAD400807D7900FD3C4846A1549648268006FC" ma:contentTypeVersion="90" ma:contentTypeDescription="Create a new document" ma:contentTypeScope="" ma:versionID="56a60ca9ba62bf7d862d156298b9389b">
  <xsd:schema xmlns:xsd="http://www.w3.org/2001/XMLSchema" xmlns:xs="http://www.w3.org/2001/XMLSchema" xmlns:p="http://schemas.microsoft.com/office/2006/metadata/properties" xmlns:ns1="http://schemas.microsoft.com/sharepoint/v3" xmlns:ns2="7041854e-4853-44f9-9e63-23b7acad5461" xmlns:ns3="369d332a-b304-460e-837f-7cce5717f79f" targetNamespace="http://schemas.microsoft.com/office/2006/metadata/properties" ma:root="true" ma:fieldsID="181b051ebaf8bf3676258f263748cd19" ns1:_="" ns2:_="" ns3:_="">
    <xsd:import namespace="http://schemas.microsoft.com/sharepoint/v3"/>
    <xsd:import namespace="7041854e-4853-44f9-9e63-23b7acad5461"/>
    <xsd:import namespace="369d332a-b304-460e-837f-7cce5717f79f"/>
    <xsd:element name="properties">
      <xsd:complexType>
        <xsd:sequence>
          <xsd:element name="documentManagement">
            <xsd:complexType>
              <xsd:all>
                <xsd:element ref="ns2:TaxCatchAll" minOccurs="0"/>
                <xsd:element ref="ns2:TaxCatchAllLabel" minOccurs="0"/>
                <xsd:element ref="ns2:oe9d4f963f4c420b8d2b35d038476850" minOccurs="0"/>
                <xsd:element ref="ns2:a9250910d34f4f6d82af870f608babb6" minOccurs="0"/>
                <xsd:element ref="ns2:da4e9ae56afa494a84f353054bd212ec" minOccurs="0"/>
                <xsd:element ref="ns2:j7c77f2a1a924badb0d621542422dc19" minOccurs="0"/>
                <xsd:element ref="ns2:b20f10deb29d4945907115b7b62c5b70" minOccurs="0"/>
                <xsd:element ref="ns2:f8aa492165544285b4c7fe9d1b6ad82c" minOccurs="0"/>
                <xsd:element ref="ns2:j014a7bd3fd34d828fc493e84f684b49" minOccurs="0"/>
                <xsd:element ref="ns2:b2faa34e97554b63aaaf45270201a270" minOccurs="0"/>
                <xsd:element ref="ns2:m279c8e365374608a4eb2bb657f838c2" minOccurs="0"/>
                <xsd:element ref="ns2:b128efbe498d4e38a73555a2e7be12ea" minOccurs="0"/>
                <xsd:element ref="ns1:RelatedItems" minOccurs="0"/>
                <xsd:element ref="ns2:Follow-up"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latedItems" ma:index="30" nillable="true" ma:displayName="Related Items" ma:internalName="RelatedItem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041854e-4853-44f9-9e63-23b7acad5461"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2da52b04-469a-4e7f-bcdd-dd5059019484}" ma:internalName="TaxCatchAll" ma:showField="CatchAllData"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2da52b04-469a-4e7f-bcdd-dd5059019484}" ma:internalName="TaxCatchAllLabel" ma:readOnly="true" ma:showField="CatchAllDataLabel" ma:web="11354919-975d-48ee-8859-4dc7ad3be72c">
      <xsd:complexType>
        <xsd:complexContent>
          <xsd:extension base="dms:MultiChoiceLookup">
            <xsd:sequence>
              <xsd:element name="Value" type="dms:Lookup" maxOccurs="unbounded" minOccurs="0" nillable="true"/>
            </xsd:sequence>
          </xsd:extension>
        </xsd:complexContent>
      </xsd:complexType>
    </xsd:element>
    <xsd:element name="oe9d4f963f4c420b8d2b35d038476850" ma:index="10" ma:taxonomy="true" ma:internalName="oe9d4f963f4c420b8d2b35d038476850" ma:taxonomyFieldName="Project_x0020_Code" ma:displayName="Project Code" ma:readOnly="false" ma:default="" ma:fieldId="{8e9d4f96-3f4c-420b-8d2b-35d038476850}" ma:sspId="e0e5cfab-624c-4e44-8ff4-7cd112c8ab77" ma:termSetId="bc23a541-aea4-4435-a073-083f538ddda8" ma:anchorId="00000000-0000-0000-0000-000000000000" ma:open="false" ma:isKeyword="false">
      <xsd:complexType>
        <xsd:sequence>
          <xsd:element ref="pc:Terms" minOccurs="0" maxOccurs="1"/>
        </xsd:sequence>
      </xsd:complexType>
    </xsd:element>
    <xsd:element name="a9250910d34f4f6d82af870f608babb6" ma:index="12" nillable="true" ma:taxonomy="true" ma:internalName="a9250910d34f4f6d82af870f608babb6" ma:taxonomyFieldName="Stakeholder" ma:displayName="Stakeholder" ma:default="" ma:fieldId="{a9250910-d34f-4f6d-82af-870f608babb6}"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da4e9ae56afa494a84f353054bd212ec" ma:index="14" ma:taxonomy="true" ma:internalName="da4e9ae56afa494a84f353054bd212ec" ma:taxonomyFieldName="Security_x0020_Classification" ma:displayName="Security Classification" ma:readOnly="false" ma:default="21;#OFFICIAL|c2540f30-f875-494b-a43f-ebfb5017a6ad" ma:fieldId="{da4e9ae5-6afa-494a-84f3-53054bd212ec}" ma:sspId="e0e5cfab-624c-4e44-8ff4-7cd112c8ab77" ma:termSetId="7ee735fb-a12e-40a4-910f-35c1a693a535" ma:anchorId="00000000-0000-0000-0000-000000000000" ma:open="false" ma:isKeyword="false">
      <xsd:complexType>
        <xsd:sequence>
          <xsd:element ref="pc:Terms" minOccurs="0" maxOccurs="1"/>
        </xsd:sequence>
      </xsd:complexType>
    </xsd:element>
    <xsd:element name="j7c77f2a1a924badb0d621542422dc19" ma:index="16" nillable="true" ma:taxonomy="true" ma:internalName="j7c77f2a1a924badb0d621542422dc19" ma:taxonomyFieldName="Meeting" ma:displayName="Meeting" ma:default="" ma:fieldId="{37c77f2a-1a92-4bad-b0d6-21542422dc19}" ma:sspId="e0e5cfab-624c-4e44-8ff4-7cd112c8ab77" ma:termSetId="97d639f9-b377-4b4b-8e24-8a2b6f8acfbc" ma:anchorId="00000000-0000-0000-0000-000000000000" ma:open="false" ma:isKeyword="false">
      <xsd:complexType>
        <xsd:sequence>
          <xsd:element ref="pc:Terms" minOccurs="0" maxOccurs="1"/>
        </xsd:sequence>
      </xsd:complexType>
    </xsd:element>
    <xsd:element name="b20f10deb29d4945907115b7b62c5b70" ma:index="18" nillable="true" ma:taxonomy="true" ma:internalName="b20f10deb29d4945907115b7b62c5b70" ma:taxonomyFieldName="Collection" ma:displayName="Collection" ma:default="" ma:fieldId="{b20f10de-b29d-4945-9071-15b7b62c5b70}" ma:sspId="e0e5cfab-624c-4e44-8ff4-7cd112c8ab77" ma:termSetId="c92d14f4-1e6e-460e-8790-d6638fa0f1bd" ma:anchorId="00000000-0000-0000-0000-000000000000" ma:open="false" ma:isKeyword="false">
      <xsd:complexType>
        <xsd:sequence>
          <xsd:element ref="pc:Terms" minOccurs="0" maxOccurs="1"/>
        </xsd:sequence>
      </xsd:complexType>
    </xsd:element>
    <xsd:element name="f8aa492165544285b4c7fe9d1b6ad82c" ma:index="20" nillable="true" ma:taxonomy="true" ma:internalName="f8aa492165544285b4c7fe9d1b6ad82c" ma:taxonomyFieldName="Stakeholder_x0020_2" ma:displayName="Stakeholder 2" ma:default="" ma:fieldId="{f8aa4921-6554-4285-b4c7-fe9d1b6ad82c}"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j014a7bd3fd34d828fc493e84f684b49" ma:index="22" nillable="true" ma:taxonomy="true" ma:internalName="j014a7bd3fd34d828fc493e84f684b49" ma:taxonomyFieldName="Stakeholder_x0020_3" ma:displayName="Stakeholder 3" ma:default="" ma:fieldId="{3014a7bd-3fd3-4d82-8fc4-93e84f684b49}"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2faa34e97554b63aaaf45270201a270" ma:index="24" nillable="true" ma:taxonomy="true" ma:internalName="b2faa34e97554b63aaaf45270201a270" ma:taxonomyFieldName="Stakeholder_x0020_4" ma:displayName="Stakeholder 4" ma:default="" ma:fieldId="{b2faa34e-9755-4b63-aaaf-45270201a270}"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m279c8e365374608a4eb2bb657f838c2" ma:index="26" nillable="true" ma:taxonomy="true" ma:internalName="m279c8e365374608a4eb2bb657f838c2" ma:taxonomyFieldName="Stakeholder_x0020_5" ma:displayName="Stakeholder 5" ma:default="" ma:fieldId="{6279c8e3-6537-4608-a4eb-2bb657f838c2}" ma:sspId="e0e5cfab-624c-4e44-8ff4-7cd112c8ab77" ma:termSetId="ee0aaf81-6a8b-43d1-b9fc-ec03981ffa49" ma:anchorId="00000000-0000-0000-0000-000000000000" ma:open="false" ma:isKeyword="false">
      <xsd:complexType>
        <xsd:sequence>
          <xsd:element ref="pc:Terms" minOccurs="0" maxOccurs="1"/>
        </xsd:sequence>
      </xsd:complexType>
    </xsd:element>
    <xsd:element name="b128efbe498d4e38a73555a2e7be12ea" ma:index="28" nillable="true" ma:taxonomy="true" ma:internalName="b128efbe498d4e38a73555a2e7be12ea" ma:taxonomyFieldName="Hierarchy" ma:displayName="Hierarchy" ma:readOnly="false" ma:default="" ma:fieldId="{b128efbe-498d-4e38-a735-55a2e7be12ea}" ma:taxonomyMulti="true" ma:sspId="e0e5cfab-624c-4e44-8ff4-7cd112c8ab77" ma:termSetId="810f28d6-fc1d-4797-8929-b08781167f15" ma:anchorId="00000000-0000-0000-0000-000000000000" ma:open="false" ma:isKeyword="false">
      <xsd:complexType>
        <xsd:sequence>
          <xsd:element ref="pc:Terms" minOccurs="0" maxOccurs="1"/>
        </xsd:sequence>
      </xsd:complexType>
    </xsd:element>
    <xsd:element name="Follow-up" ma:index="31" nillable="true" ma:displayName="Priority Flag" ma:default="0" ma:internalName="Follow_x002d_up">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69d332a-b304-460e-837f-7cce5717f79f" elementFormDefault="qualified">
    <xsd:import namespace="http://schemas.microsoft.com/office/2006/documentManagement/types"/>
    <xsd:import namespace="http://schemas.microsoft.com/office/infopath/2007/PartnerControls"/>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e0e5cfab-624c-4e44-8ff4-7cd112c8ab77" ContentTypeId="0x010100573134B1BDBFC74F8C2DBF70E4CDEAD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j7c77f2a1a924badb0d621542422dc19 xmlns="7041854e-4853-44f9-9e63-23b7acad5461">
      <Terms xmlns="http://schemas.microsoft.com/office/infopath/2007/PartnerControls"/>
    </j7c77f2a1a924badb0d621542422dc19>
    <b128efbe498d4e38a73555a2e7be12ea xmlns="7041854e-4853-44f9-9e63-23b7acad5461">
      <Terms xmlns="http://schemas.microsoft.com/office/infopath/2007/PartnerControls"/>
    </b128efbe498d4e38a73555a2e7be12ea>
    <m279c8e365374608a4eb2bb657f838c2 xmlns="7041854e-4853-44f9-9e63-23b7acad5461">
      <Terms xmlns="http://schemas.microsoft.com/office/infopath/2007/PartnerControls"/>
    </m279c8e365374608a4eb2bb657f838c2>
    <a9250910d34f4f6d82af870f608babb6 xmlns="7041854e-4853-44f9-9e63-23b7acad5461">
      <Terms xmlns="http://schemas.microsoft.com/office/infopath/2007/PartnerControls"/>
    </a9250910d34f4f6d82af870f608babb6>
    <oe9d4f963f4c420b8d2b35d038476850 xmlns="7041854e-4853-44f9-9e63-23b7acad5461">
      <Terms xmlns="http://schemas.microsoft.com/office/infopath/2007/PartnerControls">
        <TermInfo xmlns="http://schemas.microsoft.com/office/infopath/2007/PartnerControls">
          <TermName xmlns="http://schemas.microsoft.com/office/infopath/2007/PartnerControls">People Management ＆ Governance</TermName>
          <TermId xmlns="http://schemas.microsoft.com/office/infopath/2007/PartnerControls">2e87652e-ae28-4218-a6b1-ac1276fc63bd</TermId>
        </TermInfo>
      </Terms>
    </oe9d4f963f4c420b8d2b35d038476850>
    <f8aa492165544285b4c7fe9d1b6ad82c xmlns="7041854e-4853-44f9-9e63-23b7acad5461">
      <Terms xmlns="http://schemas.microsoft.com/office/infopath/2007/PartnerControls"/>
    </f8aa492165544285b4c7fe9d1b6ad82c>
    <TaxCatchAll xmlns="7041854e-4853-44f9-9e63-23b7acad5461">
      <Value>1793</Value>
      <Value>36</Value>
    </TaxCatchAll>
    <b20f10deb29d4945907115b7b62c5b70 xmlns="7041854e-4853-44f9-9e63-23b7acad5461">
      <Terms xmlns="http://schemas.microsoft.com/office/infopath/2007/PartnerControls"/>
    </b20f10deb29d4945907115b7b62c5b70>
    <j014a7bd3fd34d828fc493e84f684b49 xmlns="7041854e-4853-44f9-9e63-23b7acad5461">
      <Terms xmlns="http://schemas.microsoft.com/office/infopath/2007/PartnerControls"/>
    </j014a7bd3fd34d828fc493e84f684b49>
    <b2faa34e97554b63aaaf45270201a270 xmlns="7041854e-4853-44f9-9e63-23b7acad5461">
      <Terms xmlns="http://schemas.microsoft.com/office/infopath/2007/PartnerControls"/>
    </b2faa34e97554b63aaaf45270201a270>
    <da4e9ae56afa494a84f353054bd212ec xmlns="7041854e-4853-44f9-9e63-23b7acad5461">
      <Terms xmlns="http://schemas.microsoft.com/office/infopath/2007/PartnerControls">
        <TermInfo xmlns="http://schemas.microsoft.com/office/infopath/2007/PartnerControls">
          <TermName xmlns="http://schemas.microsoft.com/office/infopath/2007/PartnerControls">OFFICIAL SENSITIVE [PERSONAL]</TermName>
          <TermId xmlns="http://schemas.microsoft.com/office/infopath/2007/PartnerControls">634d603d-a079-46b5-bf4e-1929dc1de974</TermId>
        </TermInfo>
      </Terms>
    </da4e9ae56afa494a84f353054bd212ec>
    <RelatedItems xmlns="http://schemas.microsoft.com/sharepoint/v3" xsi:nil="true"/>
    <Follow-up xmlns="7041854e-4853-44f9-9e63-23b7acad5461">false</Follow-up>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E9B8E-BAE8-49E2-9375-CA92AEE66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1854e-4853-44f9-9e63-23b7acad5461"/>
    <ds:schemaRef ds:uri="369d332a-b304-460e-837f-7cce5717f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BEC78E-8211-403C-AF5C-A3F35C7AC79B}">
  <ds:schemaRefs>
    <ds:schemaRef ds:uri="Microsoft.SharePoint.Taxonomy.ContentTypeSync"/>
  </ds:schemaRefs>
</ds:datastoreItem>
</file>

<file path=customXml/itemProps3.xml><?xml version="1.0" encoding="utf-8"?>
<ds:datastoreItem xmlns:ds="http://schemas.openxmlformats.org/officeDocument/2006/customXml" ds:itemID="{13D3E7D4-CEFE-4F8B-8715-7267244E1EC6}">
  <ds:schemaRefs>
    <ds:schemaRef ds:uri="http://schemas.microsoft.com/sharepoint/v3/contenttype/forms"/>
  </ds:schemaRefs>
</ds:datastoreItem>
</file>

<file path=customXml/itemProps4.xml><?xml version="1.0" encoding="utf-8"?>
<ds:datastoreItem xmlns:ds="http://schemas.openxmlformats.org/officeDocument/2006/customXml" ds:itemID="{E2DF9017-7766-4624-8B29-966BCDB63F98}">
  <ds:schemaRefs>
    <ds:schemaRef ds:uri="http://schemas.microsoft.com/office/2006/metadata/properties"/>
    <ds:schemaRef ds:uri="http://schemas.microsoft.com/office/infopath/2007/PartnerControls"/>
    <ds:schemaRef ds:uri="7041854e-4853-44f9-9e63-23b7acad5461"/>
    <ds:schemaRef ds:uri="http://schemas.microsoft.com/sharepoint/v3"/>
  </ds:schemaRefs>
</ds:datastoreItem>
</file>

<file path=customXml/itemProps5.xml><?xml version="1.0" encoding="utf-8"?>
<ds:datastoreItem xmlns:ds="http://schemas.openxmlformats.org/officeDocument/2006/customXml" ds:itemID="{46A75940-4ECA-4F07-8761-92CDCB286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3221</Words>
  <Characters>18361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Water Services Regulation Authority</Company>
  <LinksUpToDate>false</LinksUpToDate>
  <CharactersWithSpaces>21539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Randall</dc:creator>
  <cp:lastModifiedBy>Emma Brain</cp:lastModifiedBy>
  <cp:revision>7</cp:revision>
  <dcterms:created xsi:type="dcterms:W3CDTF">2020-10-07T15:21:00Z</dcterms:created>
  <dcterms:modified xsi:type="dcterms:W3CDTF">2020-10-07T20:46:00Z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0x010100573134B1BDBFC74F8C2DBF70E4CDEAD400807D7900FD3C4846A1549648268006FC</vt:lpwstr>
  </property>
  <property fmtid="{D5CDD505-2E9C-101B-9397-08002B2CF9AE}" pid="3" name="Order">
    <vt:r8>100</vt:r8>
  </property>
  <property fmtid="{D5CDD505-2E9C-101B-9397-08002B2CF9AE}" pid="4" name="Meeting">
    <vt:lpwstr/>
  </property>
  <property fmtid="{D5CDD505-2E9C-101B-9397-08002B2CF9AE}" pid="5" name="Stakeholder 4">
    <vt:lpwstr/>
  </property>
  <property fmtid="{D5CDD505-2E9C-101B-9397-08002B2CF9AE}" pid="6" name="Project Code">
    <vt:lpwstr>1793;#People Management ＆ Governance|2e87652e-ae28-4218-a6b1-ac1276fc63bd</vt:lpwstr>
  </property>
  <property fmtid="{D5CDD505-2E9C-101B-9397-08002B2CF9AE}" pid="7" name="Stakeholder 3">
    <vt:lpwstr/>
  </property>
  <property fmtid="{D5CDD505-2E9C-101B-9397-08002B2CF9AE}" pid="8" name="Stakeholder 2">
    <vt:lpwstr/>
  </property>
  <property fmtid="{D5CDD505-2E9C-101B-9397-08002B2CF9AE}" pid="9" name="Stakeholder">
    <vt:lpwstr/>
  </property>
  <property fmtid="{D5CDD505-2E9C-101B-9397-08002B2CF9AE}" pid="10" name="Security Classification">
    <vt:lpwstr>36;#OFFICIAL SENSITIVE [PERSONAL]|634d603d-a079-46b5-bf4e-1929dc1de974</vt:lpwstr>
  </property>
  <property fmtid="{D5CDD505-2E9C-101B-9397-08002B2CF9AE}" pid="11" name="Hierarchy">
    <vt:lpwstr/>
  </property>
  <property fmtid="{D5CDD505-2E9C-101B-9397-08002B2CF9AE}" pid="12" name="Collection">
    <vt:lpwstr/>
  </property>
  <property fmtid="{D5CDD505-2E9C-101B-9397-08002B2CF9AE}" pid="13" name="Stakeholder 5">
    <vt:lpwstr/>
  </property>
  <property fmtid="{D5CDD505-2E9C-101B-9397-08002B2CF9AE}" pid="14" name="AuthorIds_UIVersion_13">
    <vt:lpwstr>347</vt:lpwstr>
  </property>
  <property fmtid="{D5CDD505-2E9C-101B-9397-08002B2CF9AE}" pid="15" name="AuthorIds_UIVersion_16">
    <vt:lpwstr>347</vt:lpwstr>
  </property>
  <property fmtid="{D5CDD505-2E9C-101B-9397-08002B2CF9AE}" pid="16" name="AuthorIds_UIVersion_17">
    <vt:lpwstr>347</vt:lpwstr>
  </property>
  <property fmtid="{D5CDD505-2E9C-101B-9397-08002B2CF9AE}" pid="17" name="Asset">
    <vt:bool>false</vt:bool>
  </property>
</Properties>
</file>